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Pr>
    </w:p>
    <w:p>
      <w:pPr>
        <w:pStyle w:val="27"/>
      </w:pPr>
    </w:p>
    <w:p>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283210</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2.3pt;height:0pt;width:56.7pt;z-index:251661312;mso-width-relative:page;mso-height-relative:page;" filled="f" stroked="t" coordsize="21600,21600" o:gfxdata="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S3db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天津市机关事务管理局党政机关</w:t>
      </w:r>
    </w:p>
    <w:p>
      <w:pPr>
        <w:ind w:right="105"/>
        <w:jc w:val="right"/>
        <w:rPr>
          <w:rFonts w:hint="eastAsia" w:eastAsia="黑体"/>
          <w:b/>
          <w:spacing w:val="40"/>
          <w:w w:val="66"/>
          <w:sz w:val="60"/>
          <w:szCs w:val="60"/>
        </w:rPr>
      </w:pPr>
      <w:r>
        <w:rPr>
          <w:rFonts w:hint="eastAsia" w:eastAsia="黑体"/>
          <w:b/>
          <w:spacing w:val="40"/>
          <w:w w:val="66"/>
          <w:sz w:val="60"/>
          <w:szCs w:val="60"/>
        </w:rPr>
        <w:t>办公用房管理服务中心</w:t>
      </w:r>
    </w:p>
    <w:p>
      <w:pPr>
        <w:ind w:right="105"/>
        <w:jc w:val="right"/>
        <w:rPr>
          <w:rFonts w:eastAsia="黑体"/>
          <w:b/>
          <w:spacing w:val="40"/>
          <w:w w:val="66"/>
          <w:sz w:val="60"/>
          <w:szCs w:val="60"/>
        </w:rPr>
      </w:pPr>
      <w:r>
        <w:rPr>
          <w:rFonts w:hint="eastAsia" w:eastAsia="黑体"/>
          <w:b/>
          <w:spacing w:val="40"/>
          <w:w w:val="66"/>
          <w:sz w:val="60"/>
          <w:szCs w:val="60"/>
        </w:rPr>
        <w:t>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w w:val="66"/>
          <w:sz w:val="60"/>
          <w:szCs w:val="60"/>
        </w:rPr>
        <w:t>竞争性磋商文件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TGPC-2022-D-0771</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default" w:eastAsia="仿宋_GB2312"/>
          <w:b/>
          <w:bCs/>
          <w:spacing w:val="20"/>
          <w:w w:val="66"/>
          <w:sz w:val="44"/>
          <w:szCs w:val="44"/>
          <w:lang w:val="en-US" w:eastAsia="zh-CN"/>
        </w:rPr>
      </w:pPr>
      <w:r>
        <w:rPr>
          <w:rFonts w:eastAsia="仿宋_GB2312"/>
          <w:b/>
          <w:bCs/>
          <w:kern w:val="0"/>
          <w:sz w:val="44"/>
          <w:szCs w:val="44"/>
        </w:rPr>
        <w:t>20</w:t>
      </w:r>
      <w:r>
        <w:rPr>
          <w:rFonts w:hint="eastAsia" w:eastAsia="仿宋_GB2312"/>
          <w:b/>
          <w:bCs/>
          <w:kern w:val="0"/>
          <w:sz w:val="44"/>
          <w:szCs w:val="44"/>
        </w:rPr>
        <w:t>22</w:t>
      </w:r>
      <w:r>
        <w:rPr>
          <w:rFonts w:eastAsia="仿宋_GB2312"/>
          <w:b/>
          <w:bCs/>
          <w:kern w:val="0"/>
          <w:sz w:val="44"/>
          <w:szCs w:val="44"/>
        </w:rPr>
        <w:t>.</w:t>
      </w:r>
      <w:r>
        <w:rPr>
          <w:rFonts w:hint="eastAsia" w:eastAsia="仿宋_GB2312"/>
          <w:b/>
          <w:bCs/>
          <w:kern w:val="0"/>
          <w:sz w:val="44"/>
          <w:szCs w:val="44"/>
          <w:lang w:val="en-US" w:eastAsia="zh-CN"/>
        </w:rPr>
        <w:t>11</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9"/>
        <w:rPr>
          <w:sz w:val="28"/>
          <w:szCs w:val="28"/>
        </w:rPr>
      </w:pPr>
      <w:r>
        <w:rPr>
          <w:rFonts w:hint="eastAsia"/>
          <w:sz w:val="28"/>
          <w:szCs w:val="28"/>
        </w:rPr>
        <w:t>第一部分  磋商邀请函</w:t>
      </w:r>
    </w:p>
    <w:p/>
    <w:p>
      <w:pPr>
        <w:pStyle w:val="9"/>
        <w:rPr>
          <w:sz w:val="28"/>
          <w:szCs w:val="28"/>
        </w:rPr>
      </w:pPr>
      <w:r>
        <w:rPr>
          <w:rFonts w:hint="eastAsia"/>
          <w:sz w:val="28"/>
          <w:szCs w:val="28"/>
        </w:rPr>
        <w:t>第二部分  磋商项目要求</w:t>
      </w:r>
    </w:p>
    <w:p/>
    <w:p>
      <w:pPr>
        <w:pStyle w:val="9"/>
        <w:rPr>
          <w:sz w:val="28"/>
          <w:szCs w:val="28"/>
        </w:rPr>
      </w:pPr>
      <w:r>
        <w:rPr>
          <w:rFonts w:hint="eastAsia"/>
          <w:sz w:val="28"/>
          <w:szCs w:val="28"/>
        </w:rPr>
        <w:t>第三部分  供应商须知</w:t>
      </w:r>
    </w:p>
    <w:p/>
    <w:p>
      <w:pPr>
        <w:pStyle w:val="9"/>
        <w:rPr>
          <w:sz w:val="28"/>
          <w:szCs w:val="28"/>
        </w:rPr>
      </w:pPr>
      <w:r>
        <w:rPr>
          <w:rFonts w:hint="eastAsia"/>
          <w:sz w:val="28"/>
          <w:szCs w:val="28"/>
        </w:rPr>
        <w:t>第四部分  合同草案</w:t>
      </w:r>
    </w:p>
    <w:p/>
    <w:p>
      <w:pPr>
        <w:pStyle w:val="9"/>
        <w:rPr>
          <w:sz w:val="28"/>
          <w:szCs w:val="28"/>
        </w:rPr>
      </w:pPr>
      <w:r>
        <w:rPr>
          <w:rFonts w:hint="eastAsia"/>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0"/>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27"/>
        <w:spacing w:line="360" w:lineRule="auto"/>
        <w:ind w:firstLine="480" w:firstLineChars="200"/>
        <w:jc w:val="both"/>
        <w:rPr>
          <w:rFonts w:ascii="Times New Roman" w:hAnsi="Times New Roman" w:eastAsia="宋体" w:cs="Times New Roman"/>
          <w:color w:val="auto"/>
          <w:kern w:val="2"/>
        </w:rPr>
      </w:pPr>
      <w:bookmarkStart w:id="2" w:name="_Toc411426749"/>
      <w:r>
        <w:rPr>
          <w:rFonts w:hint="eastAsia" w:ascii="Times New Roman" w:hAnsi="Times New Roman" w:eastAsia="宋体" w:cs="Times New Roman"/>
          <w:color w:val="auto"/>
          <w:kern w:val="2"/>
        </w:rPr>
        <w:t>受天津市机关事务管理局委托，天津市政府采购中心将以竞争性磋商方式，对天津市机关事务管理局党政机关办公用房管理服务中心物业管理项目实</w:t>
      </w:r>
      <w:r>
        <w:rPr>
          <w:rFonts w:ascii="Times New Roman" w:hAnsi="Times New Roman" w:eastAsia="宋体" w:cs="Times New Roman"/>
          <w:color w:val="auto"/>
          <w:kern w:val="2"/>
        </w:rPr>
        <w:t>施政府采购。现欢迎合格的供应商参加磋商。</w:t>
      </w:r>
    </w:p>
    <w:p>
      <w:pPr>
        <w:pStyle w:val="27"/>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投标人电子签章的PDF格式电子响应文件（以通过电子签章客户端软件winaip正确读取签章信息为准）。供应商参加投标前须办理CA数字证书（USBKEY）和电子签章。投标人须按竞争性磋商文件的规定在天津市政府采购中心招投标系统中提交网上应答并上传加盖投标人电子签章的PDF格式电子响应文件（以通过电子签章客户端软件winaip正确读取签章信息为准）。</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天津市机关事务管理局党政机关办公用房管理服务中心物业管理项目</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w:t>
      </w:r>
      <w:r>
        <w:rPr>
          <w:rFonts w:hint="eastAsia" w:ascii="Times New Roman" w:hAnsi="Times New Roman" w:eastAsia="宋体" w:cs="Times New Roman"/>
          <w:color w:val="auto"/>
          <w:kern w:val="2"/>
        </w:rPr>
        <w:t>TGPC-2022-D-0771</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pPr>
        <w:pStyle w:val="27"/>
        <w:spacing w:line="360" w:lineRule="auto"/>
        <w:ind w:firstLine="480" w:firstLineChars="200"/>
        <w:jc w:val="both"/>
        <w:rPr>
          <w:rFonts w:hint="eastAsia" w:ascii="Times New Roman" w:hAnsi="Times New Roman" w:eastAsia="......." w:cs="Times New Roman"/>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lang w:val="en-US" w:eastAsia="zh-CN"/>
        </w:rPr>
        <w:t>物业管理服务1项</w:t>
      </w:r>
      <w:r>
        <w:rPr>
          <w:rFonts w:hint="eastAsia" w:ascii="Times New Roman" w:hAnsi="Times New Roman" w:cs="Times New Roman"/>
        </w:rPr>
        <w:t>，合同履行期限</w:t>
      </w: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rPr>
        <w:t>年</w:t>
      </w:r>
      <w:r>
        <w:rPr>
          <w:rFonts w:hint="eastAsia" w:ascii="Times New Roman" w:hAnsi="Times New Roman" w:cs="Times New Roman"/>
          <w:lang w:eastAsia="zh-CN"/>
        </w:rPr>
        <w:t>。</w:t>
      </w:r>
    </w:p>
    <w:p>
      <w:pPr>
        <w:pStyle w:val="27"/>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本项目不接受进口产品参与磋商。</w:t>
      </w:r>
    </w:p>
    <w:p>
      <w:pPr>
        <w:pStyle w:val="27"/>
        <w:spacing w:line="360" w:lineRule="auto"/>
        <w:ind w:firstLine="480" w:firstLineChars="200"/>
        <w:jc w:val="both"/>
        <w:rPr>
          <w:rFonts w:ascii="Times New Roman" w:hAnsi="Times New Roman" w:cs="Times New Roman"/>
        </w:rPr>
      </w:pPr>
      <w:r>
        <w:rPr>
          <w:rFonts w:ascii="Times New Roman" w:hAnsi="Times New Roman" w:cs="Times New Roman"/>
        </w:rPr>
        <w:t>三、项目预算</w:t>
      </w:r>
    </w:p>
    <w:p>
      <w:pPr>
        <w:pStyle w:val="27"/>
        <w:spacing w:line="360" w:lineRule="auto"/>
        <w:ind w:firstLine="480" w:firstLineChars="200"/>
        <w:jc w:val="both"/>
        <w:rPr>
          <w:rFonts w:hint="eastAsia" w:ascii="Times New Roman" w:hAnsi="Times New Roman" w:cs="Times New Roman"/>
          <w:lang w:val="en-US" w:eastAsia="zh-CN"/>
        </w:rPr>
      </w:pPr>
      <w:r>
        <w:rPr>
          <w:rFonts w:hint="eastAsia" w:ascii="Times New Roman" w:hAnsi="Times New Roman" w:cs="Times New Roman"/>
        </w:rPr>
        <w:t>1105549</w:t>
      </w:r>
      <w:r>
        <w:rPr>
          <w:rFonts w:hint="eastAsia" w:ascii="Times New Roman" w:hAnsi="Times New Roman" w:cs="Times New Roman"/>
          <w:lang w:val="en-US" w:eastAsia="zh-CN"/>
        </w:rPr>
        <w:t>元。</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四、供应商资格要求（实质性要求）</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（一）供应商应具备独立法人资格。</w:t>
      </w:r>
    </w:p>
    <w:p>
      <w:pPr>
        <w:pStyle w:val="27"/>
        <w:spacing w:line="360" w:lineRule="auto"/>
        <w:ind w:firstLine="480" w:firstLineChars="200"/>
        <w:rPr>
          <w:rFonts w:ascii="Times New Roman" w:hAnsi="Times New Roman" w:eastAsia="宋体" w:cs="Times New Roman"/>
          <w:color w:val="auto"/>
        </w:rPr>
      </w:pPr>
      <w:bookmarkStart w:id="3" w:name="OLE_LINK4"/>
      <w:r>
        <w:rPr>
          <w:rFonts w:hint="eastAsia" w:ascii="Times New Roman" w:hAnsi="Times New Roman" w:eastAsia="宋体" w:cs="Times New Roman"/>
          <w:color w:val="auto"/>
        </w:rPr>
        <w:t>（二）投标人须具备《中华人民共和国政府采购法》第二十二条第一款规定的条件，提供以下材料：</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A.经第三方会计师事务所审计的2021年度财务报告扫描件。</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4. 提交响应文件截止日前</w:t>
      </w:r>
      <w:r>
        <w:rPr>
          <w:rFonts w:ascii="Times New Roman" w:hAnsi="Times New Roman" w:eastAsia="宋体" w:cs="Times New Roman"/>
          <w:color w:val="auto"/>
        </w:rPr>
        <w:t>3</w:t>
      </w:r>
      <w:r>
        <w:rPr>
          <w:rFonts w:hint="eastAsia" w:ascii="Times New Roman" w:hAnsi="Times New Roman" w:eastAsia="宋体" w:cs="Times New Roman"/>
          <w:color w:val="auto"/>
        </w:rPr>
        <w:t>年在经营活动中没有重大违法记录的书面声明（截至提交响应文件截止日成立不足3年的供应商可提供自成立以来无重大违法记录的书面声明）。</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（三）本项目不接受联合体参与磋商。</w:t>
      </w:r>
    </w:p>
    <w:p>
      <w:pPr>
        <w:pStyle w:val="27"/>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五、项目需要落实的政府采购政策</w:t>
      </w:r>
    </w:p>
    <w:p>
      <w:pPr>
        <w:pStyle w:val="27"/>
        <w:spacing w:line="360" w:lineRule="auto"/>
        <w:ind w:firstLine="480" w:firstLineChars="200"/>
        <w:rPr>
          <w:rFonts w:ascii="Times New Roman" w:hAnsi="Times New Roman" w:eastAsia="宋体" w:cs="Times New Roman"/>
          <w:color w:val="FF0000"/>
        </w:rPr>
      </w:pPr>
      <w:r>
        <w:rPr>
          <w:rFonts w:hint="eastAsia" w:ascii="Times New Roman" w:hAnsi="Times New Roman" w:eastAsia="宋体" w:cs="Times New Roman"/>
          <w:color w:val="auto"/>
        </w:rPr>
        <w:t>（一）</w:t>
      </w:r>
      <w:r>
        <w:rPr>
          <w:rFonts w:hint="eastAsia" w:ascii="Times New Roman" w:hAnsi="Times New Roman" w:cs="Times New Roman"/>
          <w:sz w:val="24"/>
        </w:rPr>
        <w:t>根据《政府采购促进中小企业发展管理办法》（财库[2020]46号）规定，本项目专门面向中小企业采购</w:t>
      </w:r>
      <w:r>
        <w:rPr>
          <w:rFonts w:ascii="Times New Roman" w:hAnsi="Times New Roman" w:eastAsia="宋体" w:cs="Times New Roman"/>
          <w:color w:val="FF0000"/>
        </w:rPr>
        <w:t>。</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（一）获取竞争性磋商文件的时间：202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日至202</w:t>
      </w:r>
      <w:r>
        <w:rPr>
          <w:rFonts w:hint="eastAsia" w:ascii="Times New Roman" w:hAnsi="Times New Roman" w:eastAsia="宋体" w:cs="Times New Roman"/>
          <w:color w:val="auto"/>
        </w:rPr>
        <w:t>2</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18</w:t>
      </w:r>
      <w:r>
        <w:rPr>
          <w:rFonts w:ascii="Times New Roman" w:hAnsi="Times New Roman" w:eastAsia="宋体" w:cs="Times New Roman"/>
          <w:color w:val="auto"/>
        </w:rPr>
        <w:t>日，每日9:00至17:00（北京时间，法定节假日除外）。</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获取竞争性磋商文件网址：使用天津市中环认证服务有限公司发出的CA数字证书（原天津市电子认证中心发出尚在有效期内的CA数字证书仍可使用）登录天津市政府采购中心网（网址：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下载竞争性磋商文件。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电子签章办理联系电话：022-24538316。</w:t>
      </w:r>
    </w:p>
    <w:p>
      <w:pPr>
        <w:pStyle w:val="27"/>
        <w:spacing w:line="360" w:lineRule="auto"/>
        <w:ind w:firstLine="480" w:firstLineChars="200"/>
        <w:jc w:val="both"/>
        <w:rPr>
          <w:rFonts w:ascii="Times New Roman" w:hAnsi="Times New Roman" w:cs="Times New Roman"/>
        </w:rPr>
      </w:pPr>
      <w:r>
        <w:rPr>
          <w:rFonts w:hint="eastAsia" w:ascii="Times New Roman" w:hAnsi="Times New Roman" w:cs="Times New Roman"/>
        </w:rPr>
        <w:t>（三）下载竞争性磋商文件后如放弃投标，请于网上应答截止时间之前取消参与磋商。</w:t>
      </w:r>
    </w:p>
    <w:p>
      <w:pPr>
        <w:pStyle w:val="27"/>
        <w:spacing w:line="360" w:lineRule="auto"/>
        <w:ind w:firstLine="480" w:firstLineChars="200"/>
        <w:jc w:val="both"/>
        <w:rPr>
          <w:rFonts w:ascii="Times New Roman" w:hAnsi="Times New Roman" w:cs="Times New Roman"/>
        </w:rPr>
      </w:pPr>
      <w:r>
        <w:rPr>
          <w:rFonts w:ascii="Times New Roman" w:hAnsi="Times New Roman" w:cs="Times New Roman"/>
        </w:rPr>
        <w:t>（</w:t>
      </w: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本项目不组织</w:t>
      </w:r>
      <w:r>
        <w:rPr>
          <w:rFonts w:ascii="Times New Roman" w:hAnsi="Times New Roman" w:cs="Times New Roman"/>
        </w:rPr>
        <w:t>踏勘现场。</w:t>
      </w:r>
    </w:p>
    <w:p>
      <w:pPr>
        <w:pStyle w:val="27"/>
        <w:spacing w:line="360" w:lineRule="auto"/>
        <w:ind w:firstLine="480" w:firstLineChars="200"/>
        <w:jc w:val="both"/>
        <w:rPr>
          <w:rFonts w:ascii="Times New Roman" w:hAnsi="Times New Roman" w:cs="Times New Roman"/>
        </w:rPr>
      </w:pPr>
      <w:r>
        <w:rPr>
          <w:rFonts w:hint="eastAsia" w:ascii="Times New Roman" w:hAnsi="Times New Roman" w:cs="Times New Roman"/>
        </w:rPr>
        <w:t>（五）本项目不组织标前答疑会</w:t>
      </w:r>
      <w:r>
        <w:rPr>
          <w:rFonts w:ascii="Times New Roman" w:hAnsi="Times New Roman" w:cs="Times New Roman"/>
        </w:rPr>
        <w:t>。</w:t>
      </w:r>
    </w:p>
    <w:p>
      <w:pPr>
        <w:pStyle w:val="27"/>
        <w:spacing w:line="360" w:lineRule="auto"/>
        <w:ind w:firstLine="480" w:firstLineChars="200"/>
        <w:jc w:val="both"/>
        <w:rPr>
          <w:rFonts w:ascii="Times New Roman" w:hAnsi="Times New Roman" w:cs="Times New Roman"/>
        </w:rPr>
      </w:pPr>
      <w:r>
        <w:rPr>
          <w:rFonts w:hint="eastAsia" w:ascii="Times New Roman" w:hAnsi="Times New Roman" w:cs="Times New Roman"/>
        </w:rPr>
        <w:t>七</w:t>
      </w:r>
      <w:r>
        <w:rPr>
          <w:rFonts w:ascii="Times New Roman" w:hAnsi="Times New Roman" w:cs="Times New Roman"/>
        </w:rPr>
        <w:t>、网上应答时间</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cs="Times New Roman"/>
        </w:rPr>
        <w:t>2022年</w:t>
      </w:r>
      <w:r>
        <w:rPr>
          <w:rFonts w:hint="eastAsia" w:ascii="Times New Roman" w:hAnsi="Times New Roman" w:cs="Times New Roman"/>
          <w:lang w:val="en-US" w:eastAsia="zh-CN"/>
        </w:rPr>
        <w:t>11</w:t>
      </w:r>
      <w:r>
        <w:rPr>
          <w:rFonts w:ascii="Times New Roman" w:hAnsi="Times New Roman" w:cs="Times New Roman"/>
        </w:rPr>
        <w:t>月</w:t>
      </w:r>
      <w:r>
        <w:rPr>
          <w:rFonts w:hint="eastAsia" w:ascii="Times New Roman" w:hAnsi="Times New Roman" w:cs="Times New Roman"/>
          <w:lang w:val="en-US" w:eastAsia="zh-CN"/>
        </w:rPr>
        <w:t>11</w:t>
      </w:r>
      <w:r>
        <w:rPr>
          <w:rFonts w:hint="eastAsia" w:ascii="Times New Roman" w:hAnsi="Times New Roman" w:cs="Times New Roman"/>
        </w:rPr>
        <w:t>日9:00至2022年</w:t>
      </w:r>
      <w:r>
        <w:rPr>
          <w:rFonts w:hint="eastAsia" w:ascii="Times New Roman" w:hAnsi="Times New Roman" w:cs="Times New Roman"/>
          <w:lang w:val="en-US" w:eastAsia="zh-CN"/>
        </w:rPr>
        <w:t>11</w:t>
      </w:r>
      <w:r>
        <w:rPr>
          <w:rFonts w:hint="eastAsia" w:ascii="Times New Roman" w:hAnsi="Times New Roman" w:cs="Times New Roman"/>
        </w:rPr>
        <w:t>月</w:t>
      </w:r>
      <w:r>
        <w:rPr>
          <w:rFonts w:hint="eastAsia" w:ascii="Times New Roman" w:hAnsi="Times New Roman" w:cs="Times New Roman"/>
          <w:lang w:val="en-US" w:eastAsia="zh-CN"/>
        </w:rPr>
        <w:t>25</w:t>
      </w:r>
      <w:r>
        <w:rPr>
          <w:rFonts w:hint="eastAsia" w:ascii="Times New Roman" w:hAnsi="Times New Roman" w:cs="Times New Roman"/>
        </w:rPr>
        <w:t>日8:30，使用天津市中环认证服务有限公司发出的CA数字证书（原天津市电子认证中心发出尚在有</w:t>
      </w:r>
      <w:r>
        <w:rPr>
          <w:rFonts w:hint="eastAsia" w:ascii="Times New Roman" w:hAnsi="Times New Roman" w:eastAsia="宋体" w:cs="Times New Roman"/>
          <w:color w:val="auto"/>
        </w:rPr>
        <w:t>效期内的CA数字证书仍可使用）登陆天津市政府采购中心网（网址：http://tjgpc.zwfwb.tj.gov.cn）-”网上招投标”-“供应商登录”-“市级集采机构入口”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（一）提交电子响应文件截止时间：2022年</w:t>
      </w:r>
      <w:r>
        <w:rPr>
          <w:rFonts w:hint="eastAsia" w:ascii="Times New Roman" w:hAnsi="Times New Roman" w:cs="Times New Roman"/>
          <w:lang w:val="en-US" w:eastAsia="zh-CN"/>
        </w:rPr>
        <w:t>11</w:t>
      </w:r>
      <w:r>
        <w:rPr>
          <w:rFonts w:hint="eastAsia" w:ascii="Times New Roman" w:hAnsi="Times New Roman" w:cs="Times New Roman"/>
        </w:rPr>
        <w:t>月</w:t>
      </w:r>
      <w:r>
        <w:rPr>
          <w:rFonts w:hint="eastAsia" w:ascii="Times New Roman" w:hAnsi="Times New Roman" w:cs="Times New Roman"/>
          <w:lang w:val="en-US" w:eastAsia="zh-CN"/>
        </w:rPr>
        <w:t>25</w:t>
      </w:r>
      <w:r>
        <w:rPr>
          <w:rFonts w:hint="eastAsia" w:ascii="Times New Roman" w:hAnsi="Times New Roman" w:eastAsia="宋体" w:cs="Times New Roman"/>
          <w:color w:val="auto"/>
        </w:rPr>
        <w:t>日8:30。提交电子响应文件截止时间前提交网上应答并分别上传加盖电子签章的第一、第二阶段电子响应文件（以通过电子签章客户端软件winaip正确读取签章信息为准）方为有效响应。</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（二）提交电子响应文件方式：本项目采用网上电子投标方式，投标人须于上述规定的时间使用天津市中环认证服务有限公司发出的CA数字证书（原天津市电子认证中心发出尚在有效期内的CA数字证书仍可使用）</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提交网上应答和分别上传加盖电子签章的第一、第二阶段电子响应文件（以通过电子签章客户端软件winaip正确读取签章信息为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（一）第一阶段解密时间：2022年</w:t>
      </w:r>
      <w:r>
        <w:rPr>
          <w:rFonts w:hint="eastAsia" w:ascii="Times New Roman" w:hAnsi="Times New Roman" w:eastAsia="宋体" w:cs="Times New Roman"/>
          <w:color w:val="auto"/>
          <w:lang w:val="en-US" w:eastAsia="zh-CN"/>
        </w:rPr>
        <w:t>11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hint="eastAsia" w:ascii="Times New Roman" w:hAnsi="Times New Roman" w:eastAsia="宋体" w:cs="Times New Roman"/>
          <w:color w:val="auto"/>
        </w:rPr>
        <w:t>日8:30至9:30完成第一阶段解密的方为有效响应。</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完成解密。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（四）磋商地点：第一阶段解密后，磋商代表人须于天津市河东区红星路79号二楼天津市政府采购中心评审现场等候磋商。</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供应商注册、电子签章办理咨询：022-24538316</w:t>
      </w:r>
    </w:p>
    <w:p>
      <w:pPr>
        <w:pStyle w:val="27"/>
        <w:spacing w:line="360" w:lineRule="auto"/>
        <w:ind w:firstLine="480"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2. 采购文件咨询：022-2453</w:t>
      </w:r>
      <w:r>
        <w:rPr>
          <w:rFonts w:hint="eastAsia" w:ascii="Times New Roman" w:hAnsi="Times New Roman" w:eastAsia="宋体" w:cs="Times New Roman"/>
          <w:color w:val="auto"/>
          <w:lang w:val="en-US" w:eastAsia="zh-CN"/>
        </w:rPr>
        <w:t>8318</w:t>
      </w:r>
    </w:p>
    <w:p>
      <w:pPr>
        <w:pStyle w:val="27"/>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3. 网上应答操作咨询：022-24538176</w:t>
      </w:r>
    </w:p>
    <w:p>
      <w:pPr>
        <w:pStyle w:val="27"/>
        <w:spacing w:line="360" w:lineRule="auto"/>
        <w:ind w:firstLine="480" w:firstLineChars="200"/>
        <w:jc w:val="both"/>
        <w:rPr>
          <w:rFonts w:ascii="Times New Roman" w:hAnsi="Times New Roman" w:cs="Times New Roman"/>
          <w:color w:val="auto"/>
        </w:rPr>
      </w:pPr>
      <w:r>
        <w:rPr>
          <w:rFonts w:ascii="Times New Roman" w:hAnsi="Times New Roman" w:cs="Times New Roman"/>
          <w:color w:val="auto"/>
        </w:rPr>
        <w:t>4. 解密操作咨询：022-24538309</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lang w:val="en-US" w:eastAsia="zh-CN"/>
        </w:rPr>
        <w:t>天津市机关事务管理局</w:t>
      </w:r>
      <w:r>
        <w:rPr>
          <w:rFonts w:ascii="Times New Roman" w:hAnsi="Times New Roman" w:eastAsia="宋体" w:cs="Times New Roman"/>
          <w:color w:val="auto"/>
        </w:rPr>
        <w:t xml:space="preserve"> </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天津市河西区友谊路30号 </w:t>
      </w:r>
      <w:r>
        <w:rPr>
          <w:rFonts w:ascii="Times New Roman" w:hAnsi="Times New Roman" w:eastAsia="宋体" w:cs="Times New Roman"/>
          <w:color w:val="auto"/>
        </w:rPr>
        <w:t xml:space="preserve"> </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平艳 </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83608766</w:t>
      </w:r>
      <w:r>
        <w:rPr>
          <w:rFonts w:ascii="Times New Roman" w:hAnsi="Times New Roman" w:eastAsia="宋体" w:cs="Times New Roman"/>
          <w:color w:val="auto"/>
        </w:rPr>
        <w:t xml:space="preserve"> </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1. 联系部门：天津市党政机关办公用房管理服务中心 </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联系地址：天津市和平区大理道10号</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人：张玉田</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联系方式：13001329162</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十三、公告期限</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磋商公告的公告期限为3个工作日。</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十四、招标代理服务费</w:t>
      </w:r>
    </w:p>
    <w:p>
      <w:pPr>
        <w:pStyle w:val="27"/>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7"/>
        <w:spacing w:line="360" w:lineRule="auto"/>
        <w:ind w:firstLine="480" w:firstLineChars="200"/>
        <w:jc w:val="both"/>
        <w:rPr>
          <w:rFonts w:ascii="Times New Roman" w:hAnsi="Times New Roman" w:eastAsia="宋体" w:cs="Times New Roman"/>
          <w:color w:val="auto"/>
          <w:kern w:val="2"/>
        </w:rPr>
      </w:pPr>
    </w:p>
    <w:p>
      <w:pPr>
        <w:pStyle w:val="27"/>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w:t>
      </w:r>
      <w:r>
        <w:rPr>
          <w:rFonts w:hint="eastAsia" w:ascii="Times New Roman" w:hAnsi="Times New Roman" w:eastAsia="宋体" w:cs="Times New Roman"/>
          <w:color w:val="auto"/>
          <w:kern w:val="2"/>
        </w:rPr>
        <w:t>2</w:t>
      </w:r>
      <w:r>
        <w:rPr>
          <w:rFonts w:ascii="Times New Roman" w:hAnsi="Times New Roman" w:eastAsia="宋体" w:cs="Times New Roman"/>
          <w:color w:val="auto"/>
          <w:kern w:val="2"/>
        </w:rPr>
        <w:t>年</w:t>
      </w:r>
      <w:r>
        <w:rPr>
          <w:rFonts w:hint="eastAsia" w:ascii="Times New Roman" w:hAnsi="Times New Roman" w:eastAsia="宋体" w:cs="Times New Roman"/>
          <w:color w:val="auto"/>
          <w:kern w:val="2"/>
          <w:lang w:val="en-US" w:eastAsia="zh-CN"/>
        </w:rPr>
        <w:t>11</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11</w:t>
      </w:r>
      <w:r>
        <w:rPr>
          <w:rFonts w:ascii="Times New Roman" w:hAnsi="Times New Roman" w:eastAsia="宋体" w:cs="Times New Roman"/>
          <w:color w:val="auto"/>
          <w:kern w:val="2"/>
        </w:rPr>
        <w:t>日</w:t>
      </w:r>
    </w:p>
    <w:p>
      <w:pPr>
        <w:pStyle w:val="27"/>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pPr>
        <w:pStyle w:val="10"/>
        <w:rPr>
          <w:rFonts w:ascii="Times New Roman" w:hAnsi="Times New Roman"/>
        </w:rPr>
      </w:pPr>
      <w:r>
        <w:rPr>
          <w:rFonts w:ascii="Times New Roman" w:hAnsi="Times New Roman"/>
        </w:rPr>
        <w:t>第二部分  磋商项目要求</w:t>
      </w:r>
      <w:bookmarkEnd w:id="2"/>
    </w:p>
    <w:p>
      <w:pPr>
        <w:tabs>
          <w:tab w:val="left" w:pos="210"/>
        </w:tabs>
        <w:autoSpaceDE w:val="0"/>
        <w:autoSpaceDN w:val="0"/>
        <w:adjustRightInd w:val="0"/>
        <w:spacing w:line="360" w:lineRule="auto"/>
        <w:ind w:firstLine="480" w:firstLineChars="200"/>
        <w:outlineLvl w:val="0"/>
        <w:rPr>
          <w:color w:val="000000"/>
          <w:sz w:val="24"/>
          <w:szCs w:val="24"/>
        </w:rPr>
      </w:pPr>
      <w:r>
        <w:rPr>
          <w:color w:val="000000"/>
          <w:sz w:val="24"/>
          <w:szCs w:val="24"/>
        </w:rPr>
        <w:t>一、</w:t>
      </w:r>
      <w:r>
        <w:rPr>
          <w:rFonts w:hint="eastAsia"/>
          <w:sz w:val="24"/>
          <w:szCs w:val="24"/>
        </w:rPr>
        <w:t>商务要求</w:t>
      </w:r>
    </w:p>
    <w:p>
      <w:pPr>
        <w:autoSpaceDE w:val="0"/>
        <w:autoSpaceDN w:val="0"/>
        <w:adjustRightInd w:val="0"/>
        <w:spacing w:line="360" w:lineRule="auto"/>
        <w:ind w:firstLine="480" w:firstLineChars="200"/>
        <w:rPr>
          <w:color w:val="000000"/>
          <w:sz w:val="24"/>
        </w:rPr>
      </w:pPr>
      <w:r>
        <w:rPr>
          <w:rFonts w:hint="eastAsia" w:eastAsia="......."/>
          <w:kern w:val="0"/>
          <w:sz w:val="24"/>
          <w:szCs w:val="24"/>
        </w:rPr>
        <w:t>（一）</w:t>
      </w:r>
      <w:r>
        <w:rPr>
          <w:rFonts w:hint="eastAsia"/>
          <w:color w:val="000000"/>
          <w:sz w:val="24"/>
        </w:rPr>
        <w:t>报价要求</w:t>
      </w:r>
    </w:p>
    <w:p>
      <w:pPr>
        <w:spacing w:line="360" w:lineRule="auto"/>
        <w:ind w:firstLine="480" w:firstLineChars="200"/>
        <w:rPr>
          <w:sz w:val="24"/>
        </w:rPr>
      </w:pPr>
      <w:r>
        <w:rPr>
          <w:sz w:val="24"/>
        </w:rPr>
        <w:t>1. 投标报价以人民币填列。</w:t>
      </w:r>
    </w:p>
    <w:p>
      <w:pPr>
        <w:spacing w:line="360" w:lineRule="auto"/>
        <w:ind w:firstLine="480" w:firstLineChars="200"/>
        <w:rPr>
          <w:sz w:val="24"/>
        </w:rPr>
      </w:pPr>
      <w:r>
        <w:rPr>
          <w:sz w:val="24"/>
        </w:rPr>
        <w:t>2. 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pPr>
        <w:spacing w:line="360" w:lineRule="auto"/>
        <w:ind w:firstLine="480" w:firstLineChars="200"/>
        <w:rPr>
          <w:kern w:val="0"/>
          <w:sz w:val="24"/>
          <w:szCs w:val="24"/>
        </w:rPr>
      </w:pPr>
      <w:r>
        <w:rPr>
          <w:rFonts w:hint="eastAsia"/>
          <w:sz w:val="24"/>
        </w:rPr>
        <w:t>3. 投标报价在不超采购预</w:t>
      </w:r>
      <w:r>
        <w:rPr>
          <w:rFonts w:hint="eastAsia"/>
          <w:kern w:val="0"/>
          <w:sz w:val="24"/>
          <w:szCs w:val="24"/>
        </w:rPr>
        <w:t>算的前提下，其合理性由磋商小组在评分中予以考虑。</w:t>
      </w:r>
    </w:p>
    <w:p>
      <w:pPr>
        <w:spacing w:line="360" w:lineRule="auto"/>
        <w:ind w:firstLine="480" w:firstLineChars="200"/>
        <w:rPr>
          <w:kern w:val="0"/>
          <w:sz w:val="24"/>
          <w:szCs w:val="24"/>
        </w:rPr>
      </w:pPr>
      <w:r>
        <w:rPr>
          <w:rFonts w:hint="eastAsia"/>
          <w:kern w:val="0"/>
          <w:sz w:val="24"/>
          <w:szCs w:val="24"/>
        </w:rPr>
        <w:t xml:space="preserve">4. </w:t>
      </w:r>
      <w:r>
        <w:rPr>
          <w:sz w:val="24"/>
        </w:rPr>
        <w:t>验收相关费用由投标人负责。</w:t>
      </w:r>
    </w:p>
    <w:p>
      <w:pPr>
        <w:pStyle w:val="27"/>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（二）时间、地点要求：</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kern w:val="2"/>
        </w:rPr>
        <w:t>1. 服务期：</w:t>
      </w:r>
      <w:r>
        <w:rPr>
          <w:rFonts w:hint="eastAsia" w:ascii="Times New Roman" w:hAnsi="Times New Roman" w:eastAsia="宋体" w:cs="Times New Roman"/>
          <w:kern w:val="2"/>
        </w:rPr>
        <w:t>合同规定的服务起始之日起</w:t>
      </w:r>
      <w:r>
        <w:rPr>
          <w:rFonts w:hint="eastAsia" w:ascii="Times New Roman" w:hAnsi="Times New Roman" w:eastAsia="宋体" w:cs="Times New Roman"/>
          <w:kern w:val="2"/>
          <w:lang w:val="en-US" w:eastAsia="zh-CN"/>
        </w:rPr>
        <w:t>1</w:t>
      </w:r>
      <w:r>
        <w:rPr>
          <w:rFonts w:ascii="Times New Roman" w:hAnsi="Times New Roman" w:eastAsia="宋体" w:cs="Times New Roman"/>
          <w:kern w:val="2"/>
        </w:rPr>
        <w:t>年的服务期</w:t>
      </w:r>
      <w:r>
        <w:rPr>
          <w:rFonts w:hint="eastAsia" w:ascii="Times New Roman" w:hAnsi="Times New Roman" w:eastAsia="宋体" w:cs="Times New Roman"/>
          <w:kern w:val="2"/>
        </w:rPr>
        <w:t>，签订合同之日起7日内服务人员进场</w:t>
      </w:r>
      <w:r>
        <w:rPr>
          <w:rFonts w:ascii="Times New Roman" w:hAnsi="Times New Roman" w:eastAsia="宋体" w:cs="Times New Roman"/>
          <w:kern w:val="2"/>
        </w:rPr>
        <w:t>（</w:t>
      </w:r>
      <w:r>
        <w:rPr>
          <w:rFonts w:ascii="Times New Roman" w:hAnsi="Times New Roman" w:eastAsia="宋体" w:cs="Times New Roman"/>
          <w:color w:val="auto"/>
          <w:kern w:val="2"/>
        </w:rPr>
        <w:t>特殊情况以合同为准）。</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 xml:space="preserve">2. </w:t>
      </w:r>
      <w:r>
        <w:rPr>
          <w:rFonts w:hint="eastAsia" w:ascii="Times New Roman" w:hAnsi="Times New Roman" w:eastAsia="宋体" w:cs="Times New Roman"/>
          <w:color w:val="auto"/>
          <w:kern w:val="2"/>
        </w:rPr>
        <w:t>服务</w:t>
      </w:r>
      <w:r>
        <w:rPr>
          <w:rFonts w:ascii="Times New Roman" w:hAnsi="Times New Roman" w:eastAsia="宋体" w:cs="Times New Roman"/>
          <w:color w:val="auto"/>
          <w:kern w:val="2"/>
        </w:rPr>
        <w:t>地点：</w:t>
      </w:r>
      <w:r>
        <w:rPr>
          <w:rFonts w:hint="eastAsia" w:ascii="Times New Roman" w:hAnsi="Times New Roman" w:eastAsia="宋体" w:cs="Times New Roman"/>
          <w:color w:val="auto"/>
          <w:kern w:val="2"/>
          <w:lang w:val="en-US" w:eastAsia="zh-CN"/>
        </w:rPr>
        <w:t>详见项目需求书</w:t>
      </w:r>
      <w:r>
        <w:rPr>
          <w:rFonts w:ascii="Times New Roman" w:hAnsi="Times New Roman" w:eastAsia="宋体" w:cs="Times New Roman"/>
          <w:color w:val="auto"/>
          <w:kern w:val="2"/>
        </w:rPr>
        <w:t>（特殊情况以合同为准）。</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（三）供应商须整包进行磋商，不得拆包分项磋商。</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（四）磋商有效期：本项目磋商有效期为60天。</w:t>
      </w:r>
    </w:p>
    <w:p>
      <w:pPr>
        <w:pStyle w:val="27"/>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（五）付款方式</w:t>
      </w:r>
    </w:p>
    <w:p>
      <w:pPr>
        <w:spacing w:line="360" w:lineRule="auto"/>
        <w:ind w:firstLine="540" w:firstLineChars="225"/>
        <w:rPr>
          <w:color w:val="auto"/>
          <w:sz w:val="24"/>
          <w:szCs w:val="24"/>
        </w:rPr>
      </w:pPr>
      <w:r>
        <w:rPr>
          <w:rFonts w:hint="eastAsia"/>
          <w:color w:val="auto"/>
          <w:sz w:val="24"/>
          <w:szCs w:val="24"/>
          <w:lang w:val="en-US" w:eastAsia="zh-CN"/>
        </w:rPr>
        <w:t>本项目合同签订单位为天津市党政机关办公用房管理服务中心，</w:t>
      </w:r>
      <w:bookmarkStart w:id="8" w:name="_GoBack"/>
      <w:bookmarkEnd w:id="8"/>
      <w:r>
        <w:rPr>
          <w:color w:val="auto"/>
          <w:sz w:val="24"/>
          <w:szCs w:val="24"/>
        </w:rPr>
        <w:t>按</w:t>
      </w:r>
      <w:r>
        <w:rPr>
          <w:rFonts w:hint="eastAsia"/>
          <w:color w:val="auto"/>
          <w:sz w:val="24"/>
          <w:szCs w:val="24"/>
          <w:lang w:val="en-US" w:eastAsia="zh-CN"/>
        </w:rPr>
        <w:t>季度</w:t>
      </w:r>
      <w:r>
        <w:rPr>
          <w:color w:val="auto"/>
          <w:sz w:val="24"/>
          <w:szCs w:val="24"/>
        </w:rPr>
        <w:t>付款，</w:t>
      </w:r>
      <w:r>
        <w:rPr>
          <w:rFonts w:hint="eastAsia"/>
          <w:color w:val="auto"/>
          <w:sz w:val="24"/>
          <w:szCs w:val="24"/>
        </w:rPr>
        <w:t>经考核后，</w:t>
      </w:r>
      <w:r>
        <w:rPr>
          <w:color w:val="auto"/>
          <w:sz w:val="24"/>
          <w:szCs w:val="24"/>
        </w:rPr>
        <w:t>每</w:t>
      </w:r>
      <w:r>
        <w:rPr>
          <w:rFonts w:hint="eastAsia"/>
          <w:color w:val="auto"/>
          <w:sz w:val="24"/>
          <w:szCs w:val="24"/>
          <w:lang w:val="en-US" w:eastAsia="zh-CN"/>
        </w:rPr>
        <w:t>季度首</w:t>
      </w:r>
      <w:r>
        <w:rPr>
          <w:color w:val="auto"/>
          <w:sz w:val="24"/>
          <w:szCs w:val="24"/>
        </w:rPr>
        <w:t>月15日前支付上一</w:t>
      </w:r>
      <w:r>
        <w:rPr>
          <w:rFonts w:hint="eastAsia"/>
          <w:color w:val="auto"/>
          <w:sz w:val="24"/>
          <w:szCs w:val="24"/>
          <w:lang w:val="en-US" w:eastAsia="zh-CN"/>
        </w:rPr>
        <w:t>季度</w:t>
      </w:r>
      <w:r>
        <w:rPr>
          <w:color w:val="auto"/>
          <w:sz w:val="24"/>
          <w:szCs w:val="24"/>
        </w:rPr>
        <w:t>服务费（特殊情况以合同为准）。</w:t>
      </w:r>
    </w:p>
    <w:p>
      <w:pPr>
        <w:pStyle w:val="27"/>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color w:val="auto"/>
          <w:kern w:val="2"/>
        </w:rPr>
        <w:t>（六）磋商保证金及履约保证金：本项目不收取磋商保证</w:t>
      </w:r>
      <w:r>
        <w:rPr>
          <w:rFonts w:ascii="Times New Roman" w:hAnsi="Times New Roman" w:eastAsia="宋体" w:cs="Times New Roman"/>
          <w:kern w:val="2"/>
        </w:rPr>
        <w:t>金及履约保证金。</w:t>
      </w:r>
    </w:p>
    <w:p>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pPr>
        <w:autoSpaceDE w:val="0"/>
        <w:autoSpaceDN w:val="0"/>
        <w:adjustRightInd w:val="0"/>
        <w:spacing w:line="360" w:lineRule="auto"/>
        <w:ind w:firstLine="480" w:firstLineChars="200"/>
        <w:rPr>
          <w:color w:val="000000"/>
          <w:sz w:val="24"/>
        </w:rPr>
      </w:pPr>
      <w:r>
        <w:rPr>
          <w:color w:val="000000"/>
          <w:sz w:val="24"/>
        </w:rPr>
        <w:t>（一）具体需求详见本部分项目需求书。</w:t>
      </w:r>
    </w:p>
    <w:p>
      <w:pPr>
        <w:spacing w:line="360" w:lineRule="auto"/>
        <w:ind w:firstLine="480" w:firstLineChars="20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color w:val="000000"/>
          <w:sz w:val="24"/>
        </w:rPr>
        <w:t>★</w:t>
      </w:r>
      <w:r>
        <w:rPr>
          <w:color w:val="000000"/>
          <w:sz w:val="24"/>
        </w:rPr>
        <w:t>（</w:t>
      </w:r>
      <w:r>
        <w:rPr>
          <w:rFonts w:hint="eastAsia"/>
          <w:color w:val="000000"/>
          <w:sz w:val="24"/>
          <w:lang w:val="en-US" w:eastAsia="zh-CN"/>
        </w:rPr>
        <w:t>五</w:t>
      </w:r>
      <w:r>
        <w:rPr>
          <w:color w:val="000000"/>
          <w:sz w:val="24"/>
        </w:rPr>
        <w:t>）</w:t>
      </w:r>
      <w:r>
        <w:rPr>
          <w:rFonts w:hint="eastAsia" w:ascii="宋体" w:hAnsi="宋体"/>
          <w:sz w:val="24"/>
          <w:szCs w:val="24"/>
          <w:lang w:val="en-US" w:eastAsia="zh-CN"/>
        </w:rPr>
        <w:t>投标人须承诺</w:t>
      </w:r>
      <w:r>
        <w:rPr>
          <w:rFonts w:hint="eastAsia" w:ascii="宋体" w:hAnsi="宋体"/>
          <w:sz w:val="24"/>
          <w:szCs w:val="24"/>
        </w:rPr>
        <w:t>下班后</w:t>
      </w:r>
      <w:r>
        <w:rPr>
          <w:rFonts w:hint="eastAsia" w:ascii="宋体" w:hAnsi="宋体"/>
          <w:sz w:val="24"/>
          <w:szCs w:val="24"/>
          <w:lang w:val="en-US" w:eastAsia="zh-CN"/>
        </w:rPr>
        <w:t>公务</w:t>
      </w:r>
      <w:r>
        <w:rPr>
          <w:rFonts w:hint="eastAsia" w:ascii="宋体" w:hAnsi="宋体"/>
          <w:sz w:val="24"/>
          <w:szCs w:val="24"/>
        </w:rPr>
        <w:t>车辆不在外停放，如有特殊情况，需经</w:t>
      </w:r>
      <w:r>
        <w:rPr>
          <w:rFonts w:hint="eastAsia" w:ascii="宋体" w:hAnsi="宋体"/>
          <w:sz w:val="24"/>
          <w:szCs w:val="24"/>
          <w:lang w:val="en-US" w:eastAsia="zh-CN"/>
        </w:rPr>
        <w:t>采购人</w:t>
      </w:r>
      <w:r>
        <w:rPr>
          <w:rFonts w:hint="eastAsia" w:ascii="宋体" w:hAnsi="宋体"/>
          <w:sz w:val="24"/>
          <w:szCs w:val="24"/>
        </w:rPr>
        <w:t>同意后，方可在外停放，但要确保车辆在外存放安全。违反规定者第一次给与批评教育，第二次起每次罚款</w:t>
      </w:r>
      <w:r>
        <w:rPr>
          <w:rFonts w:ascii="宋体" w:hAnsi="宋体"/>
          <w:sz w:val="24"/>
          <w:szCs w:val="24"/>
        </w:rPr>
        <w:t>100</w:t>
      </w:r>
      <w:r>
        <w:rPr>
          <w:rFonts w:hint="eastAsia" w:ascii="宋体" w:hAnsi="宋体"/>
          <w:sz w:val="24"/>
          <w:szCs w:val="24"/>
        </w:rPr>
        <w:t>元，因违反规定造成车辆损失，</w:t>
      </w:r>
      <w:r>
        <w:rPr>
          <w:rFonts w:hint="eastAsia" w:ascii="宋体" w:hAnsi="宋体"/>
          <w:sz w:val="24"/>
          <w:szCs w:val="24"/>
          <w:lang w:val="en-US" w:eastAsia="zh-CN"/>
        </w:rPr>
        <w:t>车险范围以外的</w:t>
      </w:r>
      <w:r>
        <w:rPr>
          <w:rFonts w:hint="eastAsia" w:ascii="宋体" w:hAnsi="宋体"/>
          <w:sz w:val="24"/>
          <w:szCs w:val="24"/>
        </w:rPr>
        <w:t>费用均由司机承担。</w:t>
      </w:r>
    </w:p>
    <w:p>
      <w:pPr>
        <w:autoSpaceDE w:val="0"/>
        <w:autoSpaceDN w:val="0"/>
        <w:adjustRightInd w:val="0"/>
        <w:spacing w:line="360" w:lineRule="auto"/>
        <w:ind w:firstLine="480" w:firstLineChars="200"/>
        <w:rPr>
          <w:bCs/>
          <w:sz w:val="24"/>
        </w:rPr>
      </w:pPr>
      <w:r>
        <w:rPr>
          <w:rFonts w:hint="eastAsia"/>
          <w:bCs/>
          <w:sz w:val="24"/>
        </w:rPr>
        <w:t>三、评审因素及评标标准</w:t>
      </w:r>
    </w:p>
    <w:tbl>
      <w:tblPr>
        <w:tblStyle w:val="15"/>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第一部分 价格（</w:t>
            </w:r>
            <w:r>
              <w:rPr>
                <w:rFonts w:hint="eastAsia"/>
                <w:color w:val="auto"/>
                <w:kern w:val="0"/>
                <w:sz w:val="24"/>
                <w:szCs w:val="24"/>
                <w:lang w:val="en-US" w:eastAsia="zh-CN"/>
              </w:rPr>
              <w:t>10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价格</w:t>
            </w:r>
          </w:p>
        </w:tc>
        <w:tc>
          <w:tcPr>
            <w:tcW w:w="7311" w:type="dxa"/>
            <w:shd w:val="clear" w:color="auto" w:fill="auto"/>
            <w:vAlign w:val="center"/>
          </w:tcPr>
          <w:p>
            <w:pPr>
              <w:widowControl/>
              <w:adjustRightInd w:val="0"/>
              <w:snapToGrid w:val="0"/>
              <w:spacing w:line="360" w:lineRule="auto"/>
              <w:rPr>
                <w:color w:val="auto"/>
                <w:kern w:val="0"/>
                <w:sz w:val="24"/>
                <w:szCs w:val="24"/>
              </w:rPr>
            </w:pPr>
            <w:r>
              <w:rPr>
                <w:color w:val="auto"/>
                <w:kern w:val="0"/>
                <w:sz w:val="24"/>
                <w:szCs w:val="24"/>
              </w:rPr>
              <w:t>（1）报价超过采购预算的，</w:t>
            </w:r>
            <w:r>
              <w:rPr>
                <w:rFonts w:hint="eastAsia"/>
                <w:color w:val="auto"/>
                <w:kern w:val="0"/>
                <w:sz w:val="24"/>
                <w:szCs w:val="24"/>
              </w:rPr>
              <w:t>响应</w:t>
            </w:r>
            <w:r>
              <w:rPr>
                <w:color w:val="auto"/>
                <w:kern w:val="0"/>
                <w:sz w:val="24"/>
                <w:szCs w:val="24"/>
              </w:rPr>
              <w:t>无效，未超过采购预算的报价按以下公式进行计算。</w:t>
            </w:r>
          </w:p>
          <w:p>
            <w:pPr>
              <w:widowControl/>
              <w:adjustRightInd w:val="0"/>
              <w:snapToGrid w:val="0"/>
              <w:spacing w:line="360" w:lineRule="auto"/>
              <w:rPr>
                <w:rFonts w:hint="default"/>
                <w:color w:val="auto"/>
                <w:kern w:val="0"/>
                <w:sz w:val="24"/>
                <w:szCs w:val="24"/>
                <w:lang w:val="en-US"/>
              </w:rPr>
            </w:pPr>
            <w:r>
              <w:rPr>
                <w:color w:val="auto"/>
                <w:kern w:val="0"/>
                <w:sz w:val="24"/>
                <w:szCs w:val="24"/>
              </w:rPr>
              <w:t>（2）</w:t>
            </w:r>
            <w:r>
              <w:rPr>
                <w:rFonts w:hint="eastAsia"/>
                <w:color w:val="auto"/>
                <w:kern w:val="0"/>
                <w:sz w:val="24"/>
                <w:szCs w:val="24"/>
              </w:rPr>
              <w:t>价格</w:t>
            </w:r>
            <w:r>
              <w:rPr>
                <w:color w:val="auto"/>
                <w:kern w:val="0"/>
                <w:sz w:val="24"/>
                <w:szCs w:val="24"/>
              </w:rPr>
              <w:t>得分=（评标基准价/报价）×</w:t>
            </w:r>
            <w:r>
              <w:rPr>
                <w:rFonts w:hint="eastAsia"/>
                <w:color w:val="auto"/>
                <w:kern w:val="0"/>
                <w:sz w:val="24"/>
                <w:szCs w:val="24"/>
                <w:lang w:val="en-US" w:eastAsia="zh-CN"/>
              </w:rPr>
              <w:t>10</w:t>
            </w:r>
          </w:p>
          <w:p>
            <w:pPr>
              <w:widowControl/>
              <w:adjustRightInd w:val="0"/>
              <w:snapToGrid w:val="0"/>
              <w:spacing w:line="360" w:lineRule="auto"/>
              <w:rPr>
                <w:color w:val="auto"/>
                <w:kern w:val="0"/>
                <w:sz w:val="24"/>
                <w:szCs w:val="24"/>
              </w:rPr>
            </w:pPr>
            <w:r>
              <w:rPr>
                <w:color w:val="auto"/>
                <w:kern w:val="0"/>
                <w:sz w:val="24"/>
                <w:szCs w:val="24"/>
              </w:rPr>
              <w:t>注：满足磋商文件要求且报价最低的报价为评标基准价。</w:t>
            </w:r>
          </w:p>
        </w:tc>
        <w:tc>
          <w:tcPr>
            <w:tcW w:w="1143" w:type="dxa"/>
            <w:shd w:val="clear" w:color="auto" w:fill="auto"/>
            <w:vAlign w:val="center"/>
          </w:tcPr>
          <w:p>
            <w:pPr>
              <w:widowControl/>
              <w:adjustRightInd w:val="0"/>
              <w:snapToGrid w:val="0"/>
              <w:spacing w:line="360" w:lineRule="auto"/>
              <w:jc w:val="center"/>
              <w:rPr>
                <w:rFonts w:hint="default"/>
                <w:color w:val="auto"/>
                <w:kern w:val="0"/>
                <w:sz w:val="24"/>
                <w:szCs w:val="24"/>
                <w:lang w:val="en-US"/>
              </w:rPr>
            </w:pPr>
            <w:r>
              <w:rPr>
                <w:rFonts w:hint="eastAsia"/>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59</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投标人业绩</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完全按照以下要求提供投标人曾实施的非住宅物业服务业绩，提供的证明材料均不得遮挡涂黑，否则不予认定加分。</w:t>
            </w:r>
          </w:p>
          <w:p>
            <w:pPr>
              <w:widowControl/>
              <w:adjustRightInd w:val="0"/>
              <w:snapToGrid w:val="0"/>
              <w:spacing w:line="360" w:lineRule="auto"/>
              <w:rPr>
                <w:rFonts w:hint="eastAsia" w:eastAsia="宋体"/>
                <w:color w:val="auto"/>
                <w:kern w:val="0"/>
                <w:sz w:val="24"/>
                <w:szCs w:val="24"/>
                <w:lang w:eastAsia="zh-CN"/>
              </w:rPr>
            </w:pPr>
            <w:r>
              <w:rPr>
                <w:rFonts w:hint="eastAsia"/>
                <w:color w:val="auto"/>
                <w:kern w:val="0"/>
                <w:sz w:val="24"/>
                <w:szCs w:val="24"/>
              </w:rPr>
              <w:t>A. 合同原件扫描件。包括合同金额、买卖双方名称及盖章、物业服务期限（合同服务起始日期为2019年1月1日或以后，且已经履行至少1年的时间）、物业服务内容</w:t>
            </w:r>
            <w:r>
              <w:rPr>
                <w:rFonts w:hint="eastAsia"/>
                <w:color w:val="auto"/>
                <w:kern w:val="0"/>
                <w:sz w:val="24"/>
                <w:szCs w:val="24"/>
                <w:lang w:eastAsia="zh-CN"/>
              </w:rPr>
              <w:t>。</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B. 提供上述合同服务期限内至少一个月的服务方开具的物业费发票凭证原件扫描件。</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C. 上述合同履行良好的相关证明材料原件扫描件（加盖上述合同甲方单位公章或上述合同中所盖的甲方印章）。</w:t>
            </w:r>
          </w:p>
          <w:p>
            <w:pPr>
              <w:widowControl/>
              <w:adjustRightInd w:val="0"/>
              <w:snapToGrid w:val="0"/>
              <w:spacing w:line="360" w:lineRule="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投标人相关证书评价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pPr>
              <w:widowControl/>
              <w:adjustRightInd w:val="0"/>
              <w:snapToGrid w:val="0"/>
              <w:spacing w:line="360" w:lineRule="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投入的项目经理为投标单位正式员工，提供项目经理姓名、递交响应文件截止日前三个月中连续两个月的由投标单位或其分公司为该项目经理缴纳社会保险证明扫描件，否则不予认定加分。</w:t>
            </w:r>
          </w:p>
          <w:p>
            <w:pPr>
              <w:widowControl/>
              <w:adjustRightInd w:val="0"/>
              <w:snapToGrid w:val="0"/>
              <w:spacing w:line="360" w:lineRule="auto"/>
              <w:rPr>
                <w:color w:val="auto"/>
                <w:kern w:val="0"/>
                <w:sz w:val="24"/>
                <w:szCs w:val="24"/>
              </w:rPr>
            </w:pPr>
            <w:r>
              <w:rPr>
                <w:rFonts w:hint="eastAsia"/>
                <w:color w:val="auto"/>
                <w:kern w:val="0"/>
                <w:sz w:val="24"/>
                <w:szCs w:val="24"/>
              </w:rPr>
              <w:t>（1）提供项目经理毕业证书扫描件，该项目经理具有</w:t>
            </w:r>
            <w:r>
              <w:rPr>
                <w:rFonts w:hint="eastAsia"/>
                <w:color w:val="auto"/>
                <w:kern w:val="0"/>
                <w:sz w:val="24"/>
                <w:szCs w:val="24"/>
                <w:lang w:val="en-US" w:eastAsia="zh-CN"/>
              </w:rPr>
              <w:t>大学本科或</w:t>
            </w:r>
            <w:r>
              <w:rPr>
                <w:rFonts w:hint="eastAsia"/>
                <w:color w:val="auto"/>
                <w:kern w:val="0"/>
                <w:sz w:val="24"/>
                <w:szCs w:val="24"/>
              </w:rPr>
              <w:t>以上学历</w:t>
            </w:r>
            <w:r>
              <w:rPr>
                <w:rFonts w:hint="eastAsia"/>
                <w:color w:val="auto"/>
                <w:kern w:val="0"/>
                <w:sz w:val="24"/>
                <w:szCs w:val="24"/>
                <w:lang w:eastAsia="zh-CN"/>
              </w:rPr>
              <w:t>（</w:t>
            </w:r>
            <w:r>
              <w:rPr>
                <w:rFonts w:hint="eastAsia"/>
                <w:color w:val="auto"/>
                <w:kern w:val="0"/>
                <w:sz w:val="24"/>
                <w:szCs w:val="24"/>
                <w:lang w:val="en-US" w:eastAsia="zh-CN"/>
              </w:rPr>
              <w:t>物业管理相关专业</w:t>
            </w:r>
            <w:r>
              <w:rPr>
                <w:rFonts w:hint="eastAsia"/>
                <w:color w:val="auto"/>
                <w:kern w:val="0"/>
                <w:sz w:val="24"/>
                <w:szCs w:val="24"/>
                <w:lang w:eastAsia="zh-CN"/>
              </w:rPr>
              <w:t>）</w:t>
            </w:r>
            <w:r>
              <w:rPr>
                <w:rFonts w:hint="eastAsia"/>
                <w:color w:val="auto"/>
                <w:kern w:val="0"/>
                <w:sz w:val="24"/>
                <w:szCs w:val="24"/>
              </w:rPr>
              <w:t>的：2分，其他：0分；</w:t>
            </w:r>
          </w:p>
          <w:p>
            <w:pPr>
              <w:widowControl/>
              <w:adjustRightInd w:val="0"/>
              <w:snapToGrid w:val="0"/>
              <w:spacing w:line="360" w:lineRule="auto"/>
              <w:rPr>
                <w:color w:val="auto"/>
                <w:kern w:val="0"/>
                <w:sz w:val="24"/>
                <w:szCs w:val="24"/>
              </w:rPr>
            </w:pPr>
            <w:r>
              <w:rPr>
                <w:rFonts w:hint="eastAsia"/>
                <w:color w:val="auto"/>
                <w:kern w:val="0"/>
                <w:sz w:val="24"/>
                <w:szCs w:val="24"/>
              </w:rPr>
              <w:t>（2）提供项目经理用户服务证明扫描件（加盖用户单位公章），用户服务证明能表明该项目经理具备三年</w:t>
            </w:r>
            <w:r>
              <w:rPr>
                <w:rFonts w:hint="eastAsia"/>
                <w:color w:val="auto"/>
                <w:kern w:val="0"/>
                <w:sz w:val="24"/>
                <w:szCs w:val="24"/>
                <w:lang w:val="en-US" w:eastAsia="zh-CN"/>
              </w:rPr>
              <w:t>或</w:t>
            </w:r>
            <w:r>
              <w:rPr>
                <w:rFonts w:hint="eastAsia"/>
                <w:color w:val="auto"/>
                <w:kern w:val="0"/>
                <w:sz w:val="24"/>
                <w:szCs w:val="24"/>
              </w:rPr>
              <w:t>以上非住宅物业管理经验的：2分，其他：0分；</w:t>
            </w:r>
          </w:p>
          <w:p>
            <w:pPr>
              <w:widowControl/>
              <w:adjustRightInd w:val="0"/>
              <w:snapToGrid w:val="0"/>
              <w:spacing w:line="360" w:lineRule="auto"/>
              <w:rPr>
                <w:color w:val="auto"/>
                <w:kern w:val="0"/>
                <w:sz w:val="24"/>
                <w:szCs w:val="24"/>
              </w:rPr>
            </w:pPr>
            <w:r>
              <w:rPr>
                <w:rFonts w:hint="eastAsia"/>
                <w:color w:val="auto"/>
                <w:kern w:val="0"/>
                <w:sz w:val="24"/>
                <w:szCs w:val="24"/>
              </w:rPr>
              <w:t>（3）提供项目经理身份证扫描件，该项目经理年龄在</w:t>
            </w:r>
            <w:r>
              <w:rPr>
                <w:rFonts w:hint="eastAsia"/>
                <w:color w:val="auto"/>
                <w:kern w:val="0"/>
                <w:sz w:val="24"/>
                <w:szCs w:val="24"/>
                <w:lang w:val="en-US" w:eastAsia="zh-CN"/>
              </w:rPr>
              <w:t>45</w:t>
            </w:r>
            <w:r>
              <w:rPr>
                <w:rFonts w:hint="eastAsia"/>
                <w:color w:val="auto"/>
                <w:kern w:val="0"/>
                <w:sz w:val="24"/>
                <w:szCs w:val="24"/>
              </w:rPr>
              <w:t>周岁或以下的：1分，其他：0分；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4</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（1）承诺派驻本项目的全部物业人员均满足项目需求书人员岗位表要求且身体健康的得</w:t>
            </w:r>
            <w:r>
              <w:rPr>
                <w:rFonts w:hint="eastAsia"/>
                <w:color w:val="auto"/>
                <w:kern w:val="0"/>
                <w:sz w:val="24"/>
                <w:szCs w:val="24"/>
                <w:lang w:val="en-US" w:eastAsia="zh-CN"/>
              </w:rPr>
              <w:t>10</w:t>
            </w:r>
            <w:r>
              <w:rPr>
                <w:rFonts w:hint="eastAsia"/>
                <w:color w:val="auto"/>
                <w:kern w:val="0"/>
                <w:sz w:val="24"/>
                <w:szCs w:val="24"/>
              </w:rPr>
              <w:t>分，否则0分。</w:t>
            </w:r>
          </w:p>
          <w:p>
            <w:pPr>
              <w:widowControl/>
              <w:adjustRightInd w:val="0"/>
              <w:snapToGrid w:val="0"/>
              <w:spacing w:line="360" w:lineRule="auto"/>
              <w:rPr>
                <w:color w:val="auto"/>
                <w:kern w:val="0"/>
                <w:sz w:val="24"/>
                <w:szCs w:val="24"/>
              </w:rPr>
            </w:pPr>
            <w:r>
              <w:rPr>
                <w:rFonts w:hint="eastAsia"/>
                <w:color w:val="auto"/>
                <w:kern w:val="0"/>
                <w:sz w:val="24"/>
                <w:szCs w:val="24"/>
              </w:rPr>
              <w:t>（2）</w:t>
            </w:r>
            <w:r>
              <w:rPr>
                <w:rFonts w:hint="eastAsia" w:ascii="宋体" w:hAnsi="宋体"/>
                <w:color w:val="auto"/>
                <w:kern w:val="0"/>
                <w:sz w:val="24"/>
                <w:szCs w:val="24"/>
              </w:rPr>
              <w:t>秩序维护及安全主管</w:t>
            </w:r>
            <w:r>
              <w:rPr>
                <w:rFonts w:hint="eastAsia"/>
                <w:color w:val="auto"/>
                <w:kern w:val="0"/>
                <w:sz w:val="24"/>
                <w:szCs w:val="24"/>
              </w:rPr>
              <w:t>：提供</w:t>
            </w:r>
            <w:r>
              <w:rPr>
                <w:rFonts w:hint="eastAsia" w:ascii="宋体" w:hAnsi="宋体"/>
                <w:color w:val="auto"/>
                <w:kern w:val="0"/>
                <w:sz w:val="24"/>
                <w:szCs w:val="24"/>
              </w:rPr>
              <w:t>《</w:t>
            </w:r>
            <w:r>
              <w:rPr>
                <w:rFonts w:hint="eastAsia" w:ascii="宋体" w:hAnsi="宋体"/>
                <w:color w:val="auto"/>
                <w:kern w:val="0"/>
                <w:sz w:val="24"/>
                <w:szCs w:val="24"/>
                <w:lang w:val="en-US" w:eastAsia="zh-CN"/>
              </w:rPr>
              <w:t>职业资格证书（</w:t>
            </w:r>
            <w:r>
              <w:rPr>
                <w:rFonts w:hint="eastAsia" w:ascii="宋体" w:hAnsi="宋体"/>
                <w:color w:val="auto"/>
                <w:kern w:val="0"/>
                <w:sz w:val="24"/>
                <w:szCs w:val="24"/>
              </w:rPr>
              <w:t>注册消防工程师</w:t>
            </w:r>
            <w:r>
              <w:rPr>
                <w:rFonts w:hint="eastAsia" w:ascii="宋体" w:hAnsi="宋体"/>
                <w:color w:val="auto"/>
                <w:kern w:val="0"/>
                <w:sz w:val="24"/>
                <w:szCs w:val="24"/>
                <w:lang w:val="en-US" w:eastAsia="zh-CN"/>
              </w:rPr>
              <w:t>）</w:t>
            </w:r>
            <w:r>
              <w:rPr>
                <w:rFonts w:hint="eastAsia" w:ascii="宋体" w:hAnsi="宋体"/>
                <w:color w:val="auto"/>
                <w:kern w:val="0"/>
                <w:sz w:val="24"/>
                <w:szCs w:val="24"/>
              </w:rPr>
              <w:t>》</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（3）</w:t>
            </w:r>
            <w:r>
              <w:rPr>
                <w:rFonts w:hint="eastAsia" w:ascii="宋体" w:hAnsi="宋体"/>
                <w:color w:val="auto"/>
                <w:kern w:val="0"/>
                <w:sz w:val="24"/>
                <w:szCs w:val="24"/>
              </w:rPr>
              <w:t>秩序维护及安全主管</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2</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hint="eastAsia" w:ascii="宋体" w:hAnsi="宋体"/>
                <w:color w:val="auto"/>
                <w:kern w:val="0"/>
                <w:sz w:val="24"/>
                <w:szCs w:val="24"/>
              </w:rPr>
              <w:t>秩序维护员</w:t>
            </w:r>
            <w:r>
              <w:rPr>
                <w:rFonts w:hint="eastAsia"/>
                <w:color w:val="auto"/>
                <w:kern w:val="0"/>
                <w:sz w:val="24"/>
                <w:szCs w:val="24"/>
              </w:rPr>
              <w:t>：提供</w:t>
            </w:r>
            <w:r>
              <w:rPr>
                <w:rFonts w:hint="eastAsia" w:ascii="宋体" w:hAnsi="宋体"/>
                <w:color w:val="auto"/>
                <w:kern w:val="0"/>
                <w:sz w:val="24"/>
                <w:szCs w:val="24"/>
                <w:lang w:val="en-US" w:eastAsia="zh-CN"/>
              </w:rPr>
              <w:t>公安机关颁发的保安员证书</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Fonts w:hint="eastAsia" w:ascii="宋体" w:hAnsi="宋体"/>
                <w:color w:val="auto"/>
                <w:kern w:val="0"/>
                <w:sz w:val="24"/>
                <w:szCs w:val="24"/>
              </w:rPr>
              <w:t>秩序维护员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4</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eastAsia" w:ascii="宋体" w:hAnsi="宋体"/>
                <w:color w:val="auto"/>
                <w:kern w:val="0"/>
                <w:sz w:val="24"/>
                <w:szCs w:val="24"/>
              </w:rPr>
              <w:t>保洁员</w:t>
            </w:r>
            <w:r>
              <w:rPr>
                <w:rFonts w:hint="eastAsia"/>
                <w:color w:val="auto"/>
                <w:kern w:val="0"/>
                <w:sz w:val="24"/>
                <w:szCs w:val="24"/>
              </w:rPr>
              <w:t>：提供</w:t>
            </w:r>
            <w:r>
              <w:rPr>
                <w:rFonts w:hint="eastAsia" w:ascii="宋体" w:hAnsi="宋体"/>
                <w:color w:val="auto"/>
                <w:kern w:val="0"/>
                <w:sz w:val="24"/>
                <w:szCs w:val="24"/>
              </w:rPr>
              <w:t>天津市爱国卫生运动委员会办公室颁发的《天津市病媒生物防制培训证书》</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7</w:t>
            </w:r>
            <w:r>
              <w:rPr>
                <w:rFonts w:hint="eastAsia"/>
                <w:color w:val="auto"/>
                <w:kern w:val="0"/>
                <w:sz w:val="24"/>
                <w:szCs w:val="24"/>
              </w:rPr>
              <w:t>）</w:t>
            </w:r>
            <w:r>
              <w:rPr>
                <w:rFonts w:hint="eastAsia" w:ascii="宋体" w:hAnsi="宋体"/>
                <w:color w:val="auto"/>
                <w:kern w:val="0"/>
                <w:sz w:val="24"/>
                <w:szCs w:val="24"/>
              </w:rPr>
              <w:t>保洁员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6</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8</w:t>
            </w:r>
            <w:r>
              <w:rPr>
                <w:rFonts w:hint="eastAsia"/>
                <w:color w:val="auto"/>
                <w:kern w:val="0"/>
                <w:sz w:val="24"/>
                <w:szCs w:val="24"/>
              </w:rPr>
              <w:t>）</w:t>
            </w:r>
            <w:r>
              <w:rPr>
                <w:rFonts w:hint="eastAsia" w:ascii="宋体" w:hAnsi="宋体"/>
                <w:color w:val="auto"/>
                <w:kern w:val="0"/>
                <w:sz w:val="24"/>
                <w:szCs w:val="24"/>
              </w:rPr>
              <w:t>保洁员</w:t>
            </w:r>
            <w:r>
              <w:rPr>
                <w:rFonts w:hint="eastAsia"/>
                <w:color w:val="auto"/>
                <w:kern w:val="0"/>
                <w:sz w:val="24"/>
                <w:szCs w:val="24"/>
              </w:rPr>
              <w:t>：提供</w:t>
            </w:r>
            <w:r>
              <w:rPr>
                <w:rFonts w:hint="eastAsia" w:ascii="宋体" w:hAnsi="宋体"/>
                <w:color w:val="auto"/>
                <w:kern w:val="0"/>
                <w:sz w:val="24"/>
                <w:szCs w:val="24"/>
              </w:rPr>
              <w:t>《特种作业操作证（高处作业）》</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9</w:t>
            </w:r>
            <w:r>
              <w:rPr>
                <w:rFonts w:hint="eastAsia"/>
                <w:color w:val="auto"/>
                <w:kern w:val="0"/>
                <w:sz w:val="24"/>
                <w:szCs w:val="24"/>
              </w:rPr>
              <w:t>）</w:t>
            </w:r>
            <w:r>
              <w:rPr>
                <w:rFonts w:hint="eastAsia" w:ascii="宋体" w:hAnsi="宋体"/>
                <w:color w:val="auto"/>
                <w:kern w:val="0"/>
                <w:sz w:val="24"/>
                <w:szCs w:val="24"/>
              </w:rPr>
              <w:t>保洁员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8</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10</w:t>
            </w:r>
            <w:r>
              <w:rPr>
                <w:rFonts w:hint="eastAsia"/>
                <w:color w:val="auto"/>
                <w:kern w:val="0"/>
                <w:sz w:val="24"/>
                <w:szCs w:val="24"/>
              </w:rPr>
              <w:t>）</w:t>
            </w:r>
            <w:r>
              <w:rPr>
                <w:rFonts w:hint="eastAsia" w:ascii="宋体" w:hAnsi="宋体"/>
                <w:color w:val="auto"/>
                <w:kern w:val="0"/>
                <w:sz w:val="24"/>
                <w:szCs w:val="24"/>
              </w:rPr>
              <w:t>综合维修工</w:t>
            </w:r>
            <w:r>
              <w:rPr>
                <w:rFonts w:hint="eastAsia"/>
                <w:color w:val="auto"/>
                <w:kern w:val="0"/>
                <w:sz w:val="24"/>
                <w:szCs w:val="24"/>
              </w:rPr>
              <w:t>：提供</w:t>
            </w:r>
            <w:r>
              <w:rPr>
                <w:rFonts w:hint="eastAsia" w:ascii="宋体" w:hAnsi="宋体" w:cs="宋体"/>
                <w:color w:val="auto"/>
                <w:sz w:val="24"/>
                <w:szCs w:val="24"/>
              </w:rPr>
              <w:t>工程技术系列中级或以上职称</w:t>
            </w:r>
            <w:r>
              <w:rPr>
                <w:rFonts w:hint="eastAsia" w:ascii="宋体" w:hAnsi="宋体" w:cs="宋体"/>
                <w:color w:val="auto"/>
                <w:sz w:val="24"/>
                <w:szCs w:val="24"/>
                <w:lang w:val="en-US" w:eastAsia="zh-CN"/>
              </w:rPr>
              <w:t>证书</w:t>
            </w:r>
            <w:r>
              <w:rPr>
                <w:rFonts w:hint="eastAsia" w:ascii="宋体" w:hAnsi="宋体" w:cs="宋体"/>
                <w:color w:val="auto"/>
                <w:sz w:val="24"/>
                <w:szCs w:val="24"/>
              </w:rPr>
              <w:t>（机电相关专业）</w:t>
            </w:r>
            <w:r>
              <w:rPr>
                <w:rFonts w:hint="eastAsia" w:ascii="宋体" w:hAnsi="宋体" w:cs="宋体"/>
                <w:color w:val="auto"/>
                <w:sz w:val="24"/>
                <w:szCs w:val="24"/>
                <w:lang w:eastAsia="zh-CN"/>
              </w:rPr>
              <w:t>、</w:t>
            </w:r>
            <w:r>
              <w:rPr>
                <w:rFonts w:hint="eastAsia" w:ascii="宋体" w:hAnsi="宋体"/>
                <w:color w:val="auto"/>
                <w:kern w:val="0"/>
                <w:sz w:val="24"/>
                <w:szCs w:val="24"/>
              </w:rPr>
              <w:t>《特种作业操作证（高压电工作业）》、《特种作业操作证（制冷与空调作业）》</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11</w:t>
            </w:r>
            <w:r>
              <w:rPr>
                <w:rFonts w:hint="eastAsia"/>
                <w:color w:val="auto"/>
                <w:kern w:val="0"/>
                <w:sz w:val="24"/>
                <w:szCs w:val="24"/>
              </w:rPr>
              <w:t>）</w:t>
            </w:r>
            <w:r>
              <w:rPr>
                <w:rFonts w:hint="eastAsia" w:ascii="宋体" w:hAnsi="宋体"/>
                <w:color w:val="auto"/>
                <w:kern w:val="0"/>
                <w:sz w:val="24"/>
                <w:szCs w:val="24"/>
              </w:rPr>
              <w:t>综合维修工</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10</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12</w:t>
            </w:r>
            <w:r>
              <w:rPr>
                <w:rFonts w:hint="eastAsia"/>
                <w:color w:val="auto"/>
                <w:kern w:val="0"/>
                <w:sz w:val="24"/>
                <w:szCs w:val="24"/>
              </w:rPr>
              <w:t>）</w:t>
            </w:r>
            <w:r>
              <w:rPr>
                <w:rFonts w:ascii="宋体" w:hAnsi="宋体"/>
                <w:color w:val="auto"/>
                <w:kern w:val="0"/>
                <w:sz w:val="24"/>
                <w:szCs w:val="24"/>
              </w:rPr>
              <w:t>司机</w:t>
            </w:r>
            <w:r>
              <w:rPr>
                <w:rFonts w:hint="eastAsia"/>
                <w:color w:val="auto"/>
                <w:kern w:val="0"/>
                <w:sz w:val="24"/>
                <w:szCs w:val="24"/>
              </w:rPr>
              <w:t>：提供</w:t>
            </w:r>
            <w:r>
              <w:rPr>
                <w:rFonts w:hint="eastAsia" w:ascii="宋体" w:hAnsi="宋体"/>
                <w:color w:val="auto"/>
                <w:kern w:val="0"/>
                <w:sz w:val="24"/>
                <w:szCs w:val="24"/>
              </w:rPr>
              <w:t>《机动车驾驶证》（准驾车型至少包含C1）</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13</w:t>
            </w:r>
            <w:r>
              <w:rPr>
                <w:rFonts w:hint="eastAsia"/>
                <w:color w:val="auto"/>
                <w:kern w:val="0"/>
                <w:sz w:val="24"/>
                <w:szCs w:val="24"/>
              </w:rPr>
              <w:t>）</w:t>
            </w:r>
            <w:r>
              <w:rPr>
                <w:rFonts w:ascii="宋体" w:hAnsi="宋体"/>
                <w:color w:val="auto"/>
                <w:kern w:val="0"/>
                <w:sz w:val="24"/>
                <w:szCs w:val="24"/>
              </w:rPr>
              <w:t>司机</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12</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2</w:t>
            </w:r>
            <w:r>
              <w:rPr>
                <w:rFonts w:hint="eastAsia"/>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sz w:val="24"/>
              </w:rPr>
              <w:t>人员培训方案</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人员培训方案应包含培训计划、培训方式、培训目标、言行规范、仪表仪容、公众形象等。</w:t>
            </w:r>
          </w:p>
          <w:p>
            <w:pPr>
              <w:widowControl/>
              <w:adjustRightInd w:val="0"/>
              <w:snapToGrid w:val="0"/>
              <w:spacing w:line="360" w:lineRule="auto"/>
              <w:rPr>
                <w:color w:val="auto"/>
                <w:kern w:val="0"/>
                <w:sz w:val="24"/>
                <w:szCs w:val="24"/>
              </w:rPr>
            </w:pPr>
            <w:r>
              <w:rPr>
                <w:rFonts w:hint="eastAsia"/>
                <w:color w:val="auto"/>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kern w:val="0"/>
                <w:sz w:val="24"/>
                <w:szCs w:val="24"/>
              </w:rPr>
              <w:t>保洁耗材评价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第三部分 主观分（</w:t>
            </w:r>
            <w:r>
              <w:rPr>
                <w:rFonts w:hint="eastAsia"/>
                <w:color w:val="auto"/>
                <w:kern w:val="0"/>
                <w:sz w:val="24"/>
                <w:szCs w:val="24"/>
              </w:rPr>
              <w:t>31</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人员、岗位配置方案评价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color w:val="auto"/>
                <w:kern w:val="0"/>
                <w:sz w:val="24"/>
                <w:szCs w:val="24"/>
              </w:rPr>
              <w:t>磋商文件要求，无瑕疵：3分；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秩序维护</w:t>
            </w:r>
            <w:r>
              <w:rPr>
                <w:rFonts w:hint="eastAsia"/>
                <w:color w:val="auto"/>
                <w:kern w:val="0"/>
                <w:sz w:val="24"/>
                <w:szCs w:val="24"/>
              </w:rPr>
              <w:t>、</w:t>
            </w:r>
            <w:r>
              <w:rPr>
                <w:color w:val="auto"/>
                <w:kern w:val="0"/>
                <w:sz w:val="24"/>
                <w:szCs w:val="24"/>
              </w:rPr>
              <w:t>设备维护方案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7</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5</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3</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对项目重点、难点的理解评价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至少包含针对本项目重点和难点的理解以及针对重点难点的应对解决方案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color w:val="auto"/>
                <w:kern w:val="0"/>
                <w:sz w:val="24"/>
                <w:szCs w:val="24"/>
              </w:rPr>
              <w:t>磋商文件要求，无瑕疵：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未提供重点难点理解或应对解决方案或不满足磋商文件要求或内容存在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4</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color w:val="auto"/>
                <w:kern w:val="0"/>
                <w:sz w:val="24"/>
                <w:szCs w:val="24"/>
              </w:rPr>
              <w:t>磋商文件要求，无瑕疵：3分；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至少包含当出现不可预知紧急情况时（例如</w:t>
            </w:r>
            <w:r>
              <w:rPr>
                <w:rFonts w:hint="eastAsia"/>
                <w:color w:val="auto"/>
                <w:kern w:val="0"/>
                <w:sz w:val="24"/>
                <w:szCs w:val="24"/>
                <w:lang w:val="en-US" w:eastAsia="zh-CN"/>
              </w:rPr>
              <w:t>疫情防控、</w:t>
            </w:r>
            <w:r>
              <w:rPr>
                <w:rFonts w:hint="eastAsia"/>
                <w:color w:val="auto"/>
                <w:kern w:val="0"/>
                <w:sz w:val="24"/>
                <w:szCs w:val="24"/>
              </w:rPr>
              <w:t>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color w:val="auto"/>
                <w:kern w:val="0"/>
                <w:sz w:val="24"/>
                <w:szCs w:val="24"/>
              </w:rPr>
              <w:t>磋商文件要求，无瑕疵：3分；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人员保密管理方案评价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color w:val="auto"/>
                <w:kern w:val="0"/>
                <w:sz w:val="24"/>
                <w:szCs w:val="24"/>
              </w:rPr>
              <w:t>磋商文件要求，无瑕疵：3分；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人员稳定性方案评价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至少包含服务期内保证人员更换率不得超过磋商文件要求的措施，保证更换人员不得低于采购需求，且应经采购人同意的措施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color w:val="auto"/>
                <w:kern w:val="0"/>
                <w:sz w:val="24"/>
                <w:szCs w:val="24"/>
              </w:rPr>
              <w:t>磋商文件要求，无瑕疵：3分；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未提供方案或不满足磋商文件要求或内容存在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8</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sz w:val="24"/>
              </w:rPr>
              <w:t>价格测算方案评价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color w:val="auto"/>
                <w:sz w:val="24"/>
              </w:rPr>
            </w:pPr>
            <w:r>
              <w:rPr>
                <w:rFonts w:hint="eastAsia"/>
                <w:color w:val="auto"/>
                <w:sz w:val="24"/>
              </w:rPr>
              <w:t>价格测算方案科学合理，无瑕疵：3分；</w:t>
            </w:r>
          </w:p>
          <w:p>
            <w:pPr>
              <w:widowControl/>
              <w:adjustRightInd w:val="0"/>
              <w:snapToGrid w:val="0"/>
              <w:spacing w:line="360" w:lineRule="auto"/>
              <w:rPr>
                <w:color w:val="auto"/>
                <w:sz w:val="24"/>
              </w:rPr>
            </w:pPr>
            <w:r>
              <w:rPr>
                <w:rFonts w:hint="eastAsia"/>
                <w:color w:val="auto"/>
                <w:sz w:val="24"/>
              </w:rPr>
              <w:t>内容存在1处瑕疵：2分；</w:t>
            </w:r>
          </w:p>
          <w:p>
            <w:pPr>
              <w:widowControl/>
              <w:adjustRightInd w:val="0"/>
              <w:snapToGrid w:val="0"/>
              <w:spacing w:line="360" w:lineRule="auto"/>
              <w:rPr>
                <w:color w:val="auto"/>
                <w:sz w:val="24"/>
              </w:rPr>
            </w:pPr>
            <w:r>
              <w:rPr>
                <w:rFonts w:hint="eastAsia"/>
                <w:color w:val="auto"/>
                <w:sz w:val="24"/>
              </w:rPr>
              <w:t>内容存在2处瑕疵：1分；</w:t>
            </w:r>
          </w:p>
          <w:p>
            <w:pPr>
              <w:widowControl/>
              <w:adjustRightInd w:val="0"/>
              <w:snapToGrid w:val="0"/>
              <w:spacing w:line="360" w:lineRule="auto"/>
              <w:rPr>
                <w:color w:val="auto"/>
                <w:sz w:val="24"/>
              </w:rPr>
            </w:pPr>
            <w:r>
              <w:rPr>
                <w:rFonts w:hint="eastAsia"/>
                <w:color w:val="auto"/>
                <w:sz w:val="24"/>
              </w:rPr>
              <w:t>未提供测算方案或方案存在3处及以上瑕疵或社会保险、住房公积金应缴未缴的：0分。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sz w:val="24"/>
              </w:rPr>
            </w:pPr>
            <w:r>
              <w:rPr>
                <w:color w:val="auto"/>
                <w:sz w:val="24"/>
              </w:rPr>
              <w:t>合计</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100</w:t>
            </w:r>
          </w:p>
        </w:tc>
      </w:tr>
    </w:tbl>
    <w:p>
      <w:pPr>
        <w:spacing w:line="360" w:lineRule="auto"/>
        <w:ind w:firstLine="480" w:firstLineChars="200"/>
        <w:outlineLvl w:val="0"/>
        <w:rPr>
          <w:color w:val="FF0000"/>
          <w:sz w:val="24"/>
        </w:rPr>
      </w:pPr>
    </w:p>
    <w:p>
      <w:pPr>
        <w:widowControl/>
        <w:jc w:val="left"/>
        <w:rPr>
          <w:b/>
          <w:sz w:val="24"/>
        </w:rPr>
      </w:pPr>
      <w:r>
        <w:rPr>
          <w:b/>
          <w:sz w:val="24"/>
        </w:rPr>
        <w:br w:type="page"/>
      </w:r>
    </w:p>
    <w:p>
      <w:pPr>
        <w:spacing w:line="360" w:lineRule="auto"/>
        <w:jc w:val="center"/>
        <w:rPr>
          <w:b/>
          <w:sz w:val="24"/>
        </w:rPr>
      </w:pPr>
      <w:r>
        <w:rPr>
          <w:b/>
          <w:sz w:val="24"/>
        </w:rPr>
        <w:t>项目需求书</w:t>
      </w:r>
    </w:p>
    <w:p>
      <w:pPr>
        <w:spacing w:line="360" w:lineRule="auto"/>
        <w:ind w:firstLine="482" w:firstLineChars="200"/>
        <w:outlineLvl w:val="0"/>
        <w:rPr>
          <w:b/>
          <w:bCs/>
          <w:sz w:val="24"/>
        </w:rPr>
      </w:pPr>
      <w:r>
        <w:rPr>
          <w:rFonts w:hint="eastAsia"/>
          <w:b/>
          <w:bCs/>
          <w:sz w:val="24"/>
        </w:rPr>
        <w:t>一、项目背景</w:t>
      </w:r>
    </w:p>
    <w:p>
      <w:pPr>
        <w:spacing w:line="360" w:lineRule="auto"/>
        <w:ind w:firstLine="480" w:firstLineChars="200"/>
        <w:outlineLvl w:val="0"/>
        <w:rPr>
          <w:rFonts w:hint="eastAsia"/>
          <w:sz w:val="24"/>
        </w:rPr>
      </w:pPr>
      <w:r>
        <w:rPr>
          <w:rFonts w:hint="eastAsia"/>
          <w:sz w:val="24"/>
        </w:rPr>
        <w:t>天津市党政机关办公用房管理服务中心办公地点位于天津市和平区大理道10号和18号两处。</w:t>
      </w:r>
    </w:p>
    <w:p>
      <w:pPr>
        <w:spacing w:line="360" w:lineRule="auto"/>
        <w:ind w:firstLine="480" w:firstLineChars="200"/>
        <w:outlineLvl w:val="0"/>
        <w:rPr>
          <w:rFonts w:hint="eastAsia"/>
          <w:sz w:val="24"/>
        </w:rPr>
      </w:pPr>
      <w:r>
        <w:rPr>
          <w:rFonts w:hint="eastAsia"/>
          <w:sz w:val="24"/>
        </w:rPr>
        <w:t>其中大理道10号办公楼共计3层，楼内建筑面积约2400平方米，院内面积500平米。大理道18号办公楼共计3层，楼内建筑面积200平米，院内面积140平米。</w:t>
      </w:r>
    </w:p>
    <w:p>
      <w:pPr>
        <w:spacing w:line="360" w:lineRule="auto"/>
        <w:ind w:firstLine="480" w:firstLineChars="200"/>
        <w:outlineLvl w:val="0"/>
        <w:rPr>
          <w:sz w:val="24"/>
        </w:rPr>
      </w:pPr>
      <w:r>
        <w:rPr>
          <w:rFonts w:hint="eastAsia"/>
          <w:sz w:val="24"/>
        </w:rPr>
        <w:t>本项目特点为历史建筑“小洋楼”。建筑外观坡屋顶、古旧韵味、造型美观，装饰考究；建内部配有历史木艺设施；建筑整体风格体现出的中西文化结合的特点。</w:t>
      </w:r>
    </w:p>
    <w:p>
      <w:pPr>
        <w:spacing w:line="360" w:lineRule="auto"/>
        <w:ind w:firstLine="480" w:firstLineChars="200"/>
        <w:outlineLvl w:val="0"/>
        <w:rPr>
          <w:rFonts w:hint="eastAsia" w:eastAsia="宋体"/>
          <w:sz w:val="24"/>
          <w:lang w:eastAsia="zh-CN"/>
        </w:rPr>
      </w:pPr>
      <w:r>
        <w:rPr>
          <w:rFonts w:hint="eastAsia"/>
          <w:sz w:val="24"/>
        </w:rPr>
        <w:t>本项目属于物业管理行业</w:t>
      </w:r>
      <w:r>
        <w:rPr>
          <w:rFonts w:hint="eastAsia"/>
          <w:sz w:val="24"/>
          <w:lang w:eastAsia="zh-CN"/>
        </w:rPr>
        <w:t>。</w:t>
      </w:r>
    </w:p>
    <w:p>
      <w:pPr>
        <w:spacing w:line="360" w:lineRule="auto"/>
        <w:ind w:firstLine="482" w:firstLineChars="200"/>
        <w:outlineLvl w:val="0"/>
        <w:rPr>
          <w:b/>
          <w:bCs/>
          <w:sz w:val="24"/>
        </w:rPr>
      </w:pPr>
      <w:r>
        <w:rPr>
          <w:rFonts w:hint="eastAsia"/>
          <w:b/>
          <w:bCs/>
          <w:sz w:val="24"/>
        </w:rPr>
        <w:t>二、人员及岗位要求</w:t>
      </w:r>
    </w:p>
    <w:tbl>
      <w:tblPr>
        <w:tblStyle w:val="16"/>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81"/>
        <w:gridCol w:w="750"/>
        <w:gridCol w:w="4022"/>
        <w:gridCol w:w="1222"/>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60" w:lineRule="auto"/>
              <w:jc w:val="center"/>
              <w:rPr>
                <w:rFonts w:ascii="宋体" w:hAnsi="宋体"/>
                <w:b/>
                <w:kern w:val="0"/>
                <w:sz w:val="24"/>
                <w:szCs w:val="24"/>
              </w:rPr>
            </w:pPr>
            <w:r>
              <w:rPr>
                <w:rFonts w:hint="eastAsia" w:ascii="宋体" w:hAnsi="宋体"/>
                <w:b/>
                <w:kern w:val="0"/>
                <w:sz w:val="24"/>
                <w:szCs w:val="24"/>
              </w:rPr>
              <w:t>序号</w:t>
            </w:r>
          </w:p>
        </w:tc>
        <w:tc>
          <w:tcPr>
            <w:tcW w:w="1381" w:type="dxa"/>
            <w:vAlign w:val="center"/>
          </w:tcPr>
          <w:p>
            <w:pPr>
              <w:spacing w:line="360" w:lineRule="auto"/>
              <w:jc w:val="center"/>
              <w:rPr>
                <w:rFonts w:ascii="宋体" w:hAnsi="宋体"/>
                <w:b/>
                <w:kern w:val="0"/>
                <w:sz w:val="24"/>
                <w:szCs w:val="24"/>
              </w:rPr>
            </w:pPr>
            <w:r>
              <w:rPr>
                <w:rFonts w:hint="eastAsia" w:ascii="宋体" w:hAnsi="宋体"/>
                <w:b/>
                <w:kern w:val="0"/>
                <w:sz w:val="24"/>
                <w:szCs w:val="24"/>
              </w:rPr>
              <w:t>岗位名称</w:t>
            </w:r>
          </w:p>
        </w:tc>
        <w:tc>
          <w:tcPr>
            <w:tcW w:w="750" w:type="dxa"/>
            <w:vAlign w:val="center"/>
          </w:tcPr>
          <w:p>
            <w:pPr>
              <w:spacing w:line="360" w:lineRule="auto"/>
              <w:jc w:val="center"/>
              <w:rPr>
                <w:rFonts w:ascii="宋体" w:hAnsi="宋体"/>
                <w:b/>
                <w:kern w:val="0"/>
                <w:sz w:val="24"/>
                <w:szCs w:val="24"/>
              </w:rPr>
            </w:pPr>
            <w:r>
              <w:rPr>
                <w:rFonts w:hint="eastAsia" w:ascii="宋体" w:hAnsi="宋体"/>
                <w:b/>
                <w:kern w:val="0"/>
                <w:sz w:val="24"/>
                <w:szCs w:val="24"/>
              </w:rPr>
              <w:t>人数</w:t>
            </w:r>
          </w:p>
        </w:tc>
        <w:tc>
          <w:tcPr>
            <w:tcW w:w="4022" w:type="dxa"/>
            <w:vAlign w:val="center"/>
          </w:tcPr>
          <w:p>
            <w:pPr>
              <w:spacing w:line="360" w:lineRule="auto"/>
              <w:jc w:val="center"/>
              <w:rPr>
                <w:rFonts w:ascii="宋体" w:hAnsi="宋体"/>
                <w:b/>
                <w:kern w:val="0"/>
                <w:sz w:val="24"/>
                <w:szCs w:val="24"/>
              </w:rPr>
            </w:pPr>
            <w:r>
              <w:rPr>
                <w:rFonts w:hint="eastAsia" w:ascii="宋体" w:hAnsi="宋体"/>
                <w:b/>
                <w:kern w:val="0"/>
                <w:sz w:val="24"/>
                <w:szCs w:val="24"/>
              </w:rPr>
              <w:t>要求</w:t>
            </w:r>
          </w:p>
        </w:tc>
        <w:tc>
          <w:tcPr>
            <w:tcW w:w="1222" w:type="dxa"/>
            <w:vAlign w:val="center"/>
          </w:tcPr>
          <w:p>
            <w:pPr>
              <w:spacing w:line="360" w:lineRule="auto"/>
              <w:jc w:val="center"/>
              <w:rPr>
                <w:rFonts w:ascii="宋体" w:hAnsi="宋体"/>
                <w:b/>
                <w:kern w:val="0"/>
                <w:sz w:val="24"/>
                <w:szCs w:val="24"/>
              </w:rPr>
            </w:pPr>
            <w:r>
              <w:rPr>
                <w:rFonts w:hint="eastAsia" w:ascii="宋体" w:hAnsi="宋体"/>
                <w:b/>
                <w:kern w:val="0"/>
                <w:sz w:val="24"/>
                <w:szCs w:val="24"/>
              </w:rPr>
              <w:t>是否接受退休人员</w:t>
            </w:r>
          </w:p>
        </w:tc>
        <w:tc>
          <w:tcPr>
            <w:tcW w:w="1506" w:type="dxa"/>
            <w:vAlign w:val="center"/>
          </w:tcPr>
          <w:p>
            <w:pPr>
              <w:pStyle w:val="27"/>
              <w:spacing w:line="360" w:lineRule="auto"/>
              <w:jc w:val="center"/>
              <w:rPr>
                <w:rFonts w:ascii="宋体" w:hAnsi="宋体" w:eastAsia="宋体"/>
                <w:color w:val="FF0000"/>
              </w:rPr>
            </w:pPr>
            <w:r>
              <w:rPr>
                <w:rFonts w:hint="eastAsia" w:ascii="宋体" w:hAnsi="宋体" w:eastAsia="宋体"/>
                <w:b/>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60" w:lineRule="auto"/>
              <w:jc w:val="center"/>
              <w:rPr>
                <w:rFonts w:ascii="宋体" w:hAnsi="宋体"/>
                <w:kern w:val="0"/>
                <w:sz w:val="24"/>
                <w:szCs w:val="24"/>
              </w:rPr>
            </w:pPr>
            <w:r>
              <w:rPr>
                <w:rFonts w:hint="eastAsia" w:ascii="宋体" w:hAnsi="宋体"/>
                <w:kern w:val="0"/>
                <w:sz w:val="24"/>
                <w:szCs w:val="24"/>
              </w:rPr>
              <w:t>1</w:t>
            </w:r>
          </w:p>
        </w:tc>
        <w:tc>
          <w:tcPr>
            <w:tcW w:w="1381" w:type="dxa"/>
            <w:vAlign w:val="center"/>
          </w:tcPr>
          <w:p>
            <w:pPr>
              <w:spacing w:line="360" w:lineRule="auto"/>
              <w:jc w:val="center"/>
              <w:rPr>
                <w:rFonts w:ascii="宋体" w:hAnsi="宋体"/>
                <w:kern w:val="0"/>
                <w:sz w:val="24"/>
                <w:szCs w:val="24"/>
              </w:rPr>
            </w:pPr>
            <w:r>
              <w:rPr>
                <w:rFonts w:hint="eastAsia" w:ascii="宋体" w:hAnsi="宋体"/>
                <w:kern w:val="0"/>
                <w:sz w:val="24"/>
                <w:szCs w:val="24"/>
              </w:rPr>
              <w:t>项目经理</w:t>
            </w:r>
          </w:p>
        </w:tc>
        <w:tc>
          <w:tcPr>
            <w:tcW w:w="750" w:type="dxa"/>
            <w:vAlign w:val="center"/>
          </w:tcPr>
          <w:p>
            <w:pPr>
              <w:spacing w:line="360" w:lineRule="auto"/>
              <w:jc w:val="center"/>
              <w:rPr>
                <w:rFonts w:ascii="宋体" w:hAnsi="宋体"/>
                <w:kern w:val="0"/>
                <w:sz w:val="24"/>
                <w:szCs w:val="24"/>
              </w:rPr>
            </w:pPr>
            <w:r>
              <w:rPr>
                <w:rFonts w:ascii="宋体" w:hAnsi="宋体"/>
                <w:kern w:val="0"/>
                <w:sz w:val="24"/>
                <w:szCs w:val="24"/>
              </w:rPr>
              <w:t>1</w:t>
            </w:r>
          </w:p>
        </w:tc>
        <w:tc>
          <w:tcPr>
            <w:tcW w:w="4022" w:type="dxa"/>
            <w:vAlign w:val="center"/>
          </w:tcPr>
          <w:p>
            <w:pPr>
              <w:spacing w:line="360" w:lineRule="auto"/>
              <w:jc w:val="left"/>
              <w:rPr>
                <w:rFonts w:ascii="宋体" w:hAnsi="宋体"/>
                <w:kern w:val="0"/>
                <w:sz w:val="24"/>
                <w:szCs w:val="24"/>
              </w:rPr>
            </w:pPr>
            <w:r>
              <w:rPr>
                <w:rFonts w:hint="eastAsia" w:ascii="宋体" w:hAnsi="宋体"/>
                <w:kern w:val="0"/>
                <w:sz w:val="24"/>
                <w:szCs w:val="24"/>
              </w:rPr>
              <w:t>45周岁或以下；大学本科或以上学历（物业管理相关专业）；驻场服务；三年或三年以上非住宅物业管理经验。</w:t>
            </w:r>
          </w:p>
        </w:tc>
        <w:tc>
          <w:tcPr>
            <w:tcW w:w="1222" w:type="dxa"/>
            <w:vAlign w:val="center"/>
          </w:tcPr>
          <w:p>
            <w:pPr>
              <w:spacing w:line="360" w:lineRule="auto"/>
              <w:jc w:val="center"/>
              <w:rPr>
                <w:rFonts w:ascii="宋体" w:hAnsi="宋体"/>
                <w:kern w:val="0"/>
                <w:sz w:val="24"/>
                <w:szCs w:val="24"/>
              </w:rPr>
            </w:pPr>
            <w:r>
              <w:rPr>
                <w:rFonts w:hint="eastAsia" w:ascii="宋体" w:hAnsi="宋体"/>
                <w:kern w:val="0"/>
                <w:sz w:val="24"/>
                <w:szCs w:val="24"/>
              </w:rPr>
              <w:t>否</w:t>
            </w:r>
          </w:p>
        </w:tc>
        <w:tc>
          <w:tcPr>
            <w:tcW w:w="1506" w:type="dxa"/>
            <w:vAlign w:val="center"/>
          </w:tcPr>
          <w:p>
            <w:pPr>
              <w:spacing w:line="360" w:lineRule="auto"/>
              <w:jc w:val="center"/>
              <w:rPr>
                <w:rFonts w:ascii="宋体" w:hAnsi="宋体"/>
                <w:kern w:val="0"/>
                <w:sz w:val="24"/>
                <w:szCs w:val="24"/>
              </w:rPr>
            </w:pPr>
            <w:r>
              <w:rPr>
                <w:rFonts w:hint="eastAsia" w:ascii="宋体" w:hAnsi="宋体"/>
                <w:kern w:val="0"/>
                <w:sz w:val="24"/>
                <w:szCs w:val="24"/>
              </w:rPr>
              <w:t>每周5天</w:t>
            </w:r>
          </w:p>
          <w:p>
            <w:pPr>
              <w:spacing w:line="360" w:lineRule="auto"/>
              <w:jc w:val="center"/>
              <w:rPr>
                <w:rFonts w:ascii="宋体" w:hAnsi="宋体"/>
                <w:kern w:val="0"/>
                <w:sz w:val="24"/>
                <w:szCs w:val="24"/>
              </w:rPr>
            </w:pPr>
            <w:r>
              <w:rPr>
                <w:rFonts w:hint="eastAsia" w:ascii="宋体" w:hAnsi="宋体"/>
                <w:kern w:val="0"/>
                <w:sz w:val="24"/>
                <w:szCs w:val="24"/>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60" w:lineRule="auto"/>
              <w:jc w:val="center"/>
              <w:rPr>
                <w:rFonts w:ascii="宋体" w:hAnsi="宋体"/>
                <w:kern w:val="0"/>
                <w:sz w:val="24"/>
                <w:szCs w:val="24"/>
              </w:rPr>
            </w:pPr>
            <w:r>
              <w:rPr>
                <w:rFonts w:hint="eastAsia" w:ascii="宋体" w:hAnsi="宋体"/>
                <w:kern w:val="0"/>
                <w:sz w:val="24"/>
                <w:szCs w:val="24"/>
              </w:rPr>
              <w:t>2</w:t>
            </w:r>
          </w:p>
        </w:tc>
        <w:tc>
          <w:tcPr>
            <w:tcW w:w="1381" w:type="dxa"/>
            <w:vAlign w:val="center"/>
          </w:tcPr>
          <w:p>
            <w:pPr>
              <w:spacing w:line="360" w:lineRule="auto"/>
              <w:jc w:val="center"/>
              <w:rPr>
                <w:rFonts w:ascii="宋体" w:hAnsi="宋体"/>
                <w:kern w:val="0"/>
                <w:sz w:val="24"/>
                <w:szCs w:val="24"/>
              </w:rPr>
            </w:pPr>
            <w:r>
              <w:rPr>
                <w:rFonts w:hint="eastAsia" w:ascii="宋体" w:hAnsi="宋体"/>
                <w:kern w:val="0"/>
                <w:sz w:val="24"/>
                <w:szCs w:val="24"/>
              </w:rPr>
              <w:t>会议服务</w:t>
            </w:r>
          </w:p>
        </w:tc>
        <w:tc>
          <w:tcPr>
            <w:tcW w:w="750" w:type="dxa"/>
            <w:vAlign w:val="center"/>
          </w:tcPr>
          <w:p>
            <w:pPr>
              <w:spacing w:line="360" w:lineRule="auto"/>
              <w:jc w:val="center"/>
              <w:rPr>
                <w:rFonts w:ascii="宋体" w:hAnsi="宋体"/>
                <w:kern w:val="0"/>
                <w:sz w:val="24"/>
                <w:szCs w:val="24"/>
              </w:rPr>
            </w:pPr>
            <w:r>
              <w:rPr>
                <w:rFonts w:ascii="宋体" w:hAnsi="宋体"/>
                <w:kern w:val="0"/>
                <w:sz w:val="24"/>
                <w:szCs w:val="24"/>
              </w:rPr>
              <w:t>1</w:t>
            </w:r>
          </w:p>
        </w:tc>
        <w:tc>
          <w:tcPr>
            <w:tcW w:w="4022" w:type="dxa"/>
            <w:vAlign w:val="center"/>
          </w:tcPr>
          <w:p>
            <w:pPr>
              <w:spacing w:line="360" w:lineRule="auto"/>
              <w:jc w:val="left"/>
              <w:rPr>
                <w:rFonts w:ascii="宋体" w:hAnsi="宋体"/>
                <w:kern w:val="0"/>
                <w:sz w:val="24"/>
                <w:szCs w:val="24"/>
              </w:rPr>
            </w:pPr>
            <w:r>
              <w:rPr>
                <w:rFonts w:hint="eastAsia" w:ascii="宋体" w:hAnsi="宋体"/>
                <w:kern w:val="0"/>
                <w:sz w:val="24"/>
                <w:szCs w:val="24"/>
              </w:rPr>
              <w:t>年龄3</w:t>
            </w:r>
            <w:r>
              <w:rPr>
                <w:rFonts w:ascii="宋体" w:hAnsi="宋体"/>
                <w:kern w:val="0"/>
                <w:sz w:val="24"/>
                <w:szCs w:val="24"/>
              </w:rPr>
              <w:t>5</w:t>
            </w:r>
            <w:r>
              <w:rPr>
                <w:rFonts w:hint="eastAsia" w:ascii="宋体" w:hAnsi="宋体"/>
                <w:kern w:val="0"/>
                <w:sz w:val="24"/>
                <w:szCs w:val="24"/>
              </w:rPr>
              <w:t>周岁以下，女性，大学本科或以上学历，具备卫生防疫部门或医疗机构颁发的健康证。</w:t>
            </w:r>
          </w:p>
        </w:tc>
        <w:tc>
          <w:tcPr>
            <w:tcW w:w="1222" w:type="dxa"/>
            <w:vAlign w:val="center"/>
          </w:tcPr>
          <w:p>
            <w:pPr>
              <w:spacing w:line="360" w:lineRule="auto"/>
              <w:jc w:val="center"/>
              <w:rPr>
                <w:rFonts w:ascii="宋体" w:hAnsi="宋体"/>
                <w:kern w:val="0"/>
                <w:sz w:val="24"/>
                <w:szCs w:val="24"/>
              </w:rPr>
            </w:pPr>
            <w:r>
              <w:rPr>
                <w:rFonts w:hint="eastAsia" w:ascii="宋体" w:hAnsi="宋体"/>
                <w:kern w:val="0"/>
                <w:sz w:val="24"/>
                <w:szCs w:val="24"/>
              </w:rPr>
              <w:t>否</w:t>
            </w:r>
          </w:p>
        </w:tc>
        <w:tc>
          <w:tcPr>
            <w:tcW w:w="1506" w:type="dxa"/>
            <w:vAlign w:val="center"/>
          </w:tcPr>
          <w:p>
            <w:pPr>
              <w:spacing w:line="360" w:lineRule="auto"/>
              <w:jc w:val="center"/>
              <w:rPr>
                <w:rFonts w:ascii="宋体" w:hAnsi="宋体"/>
                <w:kern w:val="0"/>
                <w:sz w:val="24"/>
                <w:szCs w:val="24"/>
              </w:rPr>
            </w:pPr>
            <w:r>
              <w:rPr>
                <w:rFonts w:hint="eastAsia" w:ascii="宋体" w:hAnsi="宋体"/>
                <w:kern w:val="0"/>
                <w:sz w:val="24"/>
                <w:szCs w:val="24"/>
              </w:rPr>
              <w:t>每周5天</w:t>
            </w:r>
          </w:p>
          <w:p>
            <w:pPr>
              <w:spacing w:line="360" w:lineRule="auto"/>
              <w:jc w:val="center"/>
              <w:rPr>
                <w:rFonts w:ascii="宋体" w:hAnsi="宋体"/>
                <w:kern w:val="0"/>
                <w:sz w:val="24"/>
                <w:szCs w:val="24"/>
              </w:rPr>
            </w:pPr>
            <w:r>
              <w:rPr>
                <w:rFonts w:hint="eastAsia" w:ascii="宋体" w:hAnsi="宋体"/>
                <w:kern w:val="0"/>
                <w:sz w:val="24"/>
                <w:szCs w:val="24"/>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1" w:type="dxa"/>
            <w:vAlign w:val="center"/>
          </w:tcPr>
          <w:p>
            <w:pPr>
              <w:spacing w:line="360" w:lineRule="auto"/>
              <w:jc w:val="center"/>
              <w:rPr>
                <w:rFonts w:ascii="宋体" w:hAnsi="宋体"/>
                <w:kern w:val="0"/>
                <w:sz w:val="24"/>
                <w:szCs w:val="24"/>
              </w:rPr>
            </w:pPr>
            <w:r>
              <w:rPr>
                <w:rFonts w:hint="eastAsia" w:ascii="宋体" w:hAnsi="宋体"/>
                <w:kern w:val="0"/>
                <w:sz w:val="24"/>
                <w:szCs w:val="24"/>
              </w:rPr>
              <w:t>3</w:t>
            </w:r>
          </w:p>
        </w:tc>
        <w:tc>
          <w:tcPr>
            <w:tcW w:w="1381" w:type="dxa"/>
            <w:vAlign w:val="center"/>
          </w:tcPr>
          <w:p>
            <w:pPr>
              <w:spacing w:line="360" w:lineRule="auto"/>
              <w:jc w:val="center"/>
              <w:rPr>
                <w:rFonts w:ascii="宋体" w:hAnsi="宋体"/>
                <w:kern w:val="0"/>
                <w:sz w:val="24"/>
                <w:szCs w:val="24"/>
              </w:rPr>
            </w:pPr>
            <w:r>
              <w:rPr>
                <w:rFonts w:hint="eastAsia" w:ascii="宋体" w:hAnsi="宋体"/>
                <w:kern w:val="0"/>
                <w:sz w:val="24"/>
                <w:szCs w:val="24"/>
              </w:rPr>
              <w:t>秩序维护及安全主管</w:t>
            </w:r>
          </w:p>
        </w:tc>
        <w:tc>
          <w:tcPr>
            <w:tcW w:w="750" w:type="dxa"/>
            <w:vAlign w:val="center"/>
          </w:tcPr>
          <w:p>
            <w:pPr>
              <w:spacing w:line="360" w:lineRule="auto"/>
              <w:jc w:val="center"/>
              <w:rPr>
                <w:rFonts w:ascii="宋体" w:hAnsi="宋体"/>
                <w:kern w:val="0"/>
                <w:sz w:val="24"/>
                <w:szCs w:val="24"/>
              </w:rPr>
            </w:pPr>
            <w:r>
              <w:rPr>
                <w:rFonts w:ascii="宋体" w:hAnsi="宋体"/>
                <w:kern w:val="0"/>
                <w:sz w:val="24"/>
                <w:szCs w:val="24"/>
              </w:rPr>
              <w:t>1</w:t>
            </w:r>
          </w:p>
        </w:tc>
        <w:tc>
          <w:tcPr>
            <w:tcW w:w="4022" w:type="dxa"/>
            <w:vAlign w:val="center"/>
          </w:tcPr>
          <w:p>
            <w:pPr>
              <w:spacing w:line="360" w:lineRule="auto"/>
              <w:jc w:val="left"/>
              <w:rPr>
                <w:rFonts w:ascii="宋体" w:hAnsi="宋体"/>
                <w:kern w:val="0"/>
                <w:sz w:val="24"/>
                <w:szCs w:val="24"/>
              </w:rPr>
            </w:pPr>
            <w:r>
              <w:rPr>
                <w:rFonts w:hint="eastAsia" w:ascii="宋体" w:hAnsi="宋体"/>
                <w:kern w:val="0"/>
                <w:sz w:val="24"/>
                <w:szCs w:val="24"/>
              </w:rPr>
              <w:t>男性，年龄50岁以下，持有《</w:t>
            </w:r>
            <w:r>
              <w:rPr>
                <w:rFonts w:hint="eastAsia" w:ascii="宋体" w:hAnsi="宋体"/>
                <w:kern w:val="0"/>
                <w:sz w:val="24"/>
                <w:szCs w:val="24"/>
                <w:lang w:val="en-US" w:eastAsia="zh-CN"/>
              </w:rPr>
              <w:t>职业资格证书（</w:t>
            </w:r>
            <w:r>
              <w:rPr>
                <w:rFonts w:hint="eastAsia" w:ascii="宋体" w:hAnsi="宋体"/>
                <w:kern w:val="0"/>
                <w:sz w:val="24"/>
                <w:szCs w:val="24"/>
              </w:rPr>
              <w:t>注册消防工程师</w:t>
            </w:r>
            <w:r>
              <w:rPr>
                <w:rFonts w:hint="eastAsia" w:ascii="宋体" w:hAnsi="宋体"/>
                <w:kern w:val="0"/>
                <w:sz w:val="24"/>
                <w:szCs w:val="24"/>
                <w:lang w:val="en-US" w:eastAsia="zh-CN"/>
              </w:rPr>
              <w:t>）</w:t>
            </w:r>
            <w:r>
              <w:rPr>
                <w:rFonts w:hint="eastAsia" w:ascii="宋体" w:hAnsi="宋体"/>
                <w:kern w:val="0"/>
                <w:sz w:val="24"/>
                <w:szCs w:val="24"/>
              </w:rPr>
              <w:t>》证书</w:t>
            </w:r>
          </w:p>
        </w:tc>
        <w:tc>
          <w:tcPr>
            <w:tcW w:w="1222" w:type="dxa"/>
            <w:vAlign w:val="center"/>
          </w:tcPr>
          <w:p>
            <w:pPr>
              <w:spacing w:line="360" w:lineRule="auto"/>
              <w:jc w:val="center"/>
              <w:rPr>
                <w:rFonts w:ascii="宋体" w:hAnsi="宋体"/>
                <w:kern w:val="0"/>
                <w:sz w:val="24"/>
                <w:szCs w:val="24"/>
              </w:rPr>
            </w:pPr>
            <w:r>
              <w:rPr>
                <w:rFonts w:hint="eastAsia" w:ascii="宋体" w:hAnsi="宋体"/>
                <w:kern w:val="0"/>
                <w:sz w:val="24"/>
                <w:szCs w:val="24"/>
              </w:rPr>
              <w:t>否</w:t>
            </w:r>
          </w:p>
        </w:tc>
        <w:tc>
          <w:tcPr>
            <w:tcW w:w="1506" w:type="dxa"/>
            <w:vAlign w:val="center"/>
          </w:tcPr>
          <w:p>
            <w:pPr>
              <w:spacing w:line="360" w:lineRule="auto"/>
              <w:jc w:val="center"/>
              <w:rPr>
                <w:rFonts w:ascii="宋体" w:hAnsi="宋体"/>
                <w:kern w:val="0"/>
                <w:sz w:val="24"/>
                <w:szCs w:val="24"/>
              </w:rPr>
            </w:pPr>
            <w:r>
              <w:rPr>
                <w:rFonts w:hint="eastAsia" w:ascii="宋体" w:hAnsi="宋体"/>
                <w:kern w:val="0"/>
                <w:sz w:val="24"/>
                <w:szCs w:val="24"/>
              </w:rPr>
              <w:t>每周5天</w:t>
            </w:r>
          </w:p>
          <w:p>
            <w:pPr>
              <w:spacing w:line="360" w:lineRule="auto"/>
              <w:jc w:val="center"/>
              <w:rPr>
                <w:rFonts w:ascii="宋体" w:hAnsi="宋体"/>
                <w:kern w:val="0"/>
                <w:sz w:val="24"/>
                <w:szCs w:val="24"/>
              </w:rPr>
            </w:pPr>
            <w:r>
              <w:rPr>
                <w:rFonts w:hint="eastAsia" w:ascii="宋体" w:hAnsi="宋体"/>
                <w:kern w:val="0"/>
                <w:sz w:val="24"/>
                <w:szCs w:val="24"/>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731" w:type="dxa"/>
            <w:vAlign w:val="center"/>
          </w:tcPr>
          <w:p>
            <w:pPr>
              <w:spacing w:line="360" w:lineRule="auto"/>
              <w:jc w:val="center"/>
              <w:rPr>
                <w:rFonts w:ascii="宋体" w:hAnsi="宋体"/>
                <w:kern w:val="0"/>
                <w:sz w:val="24"/>
                <w:szCs w:val="24"/>
              </w:rPr>
            </w:pPr>
            <w:r>
              <w:rPr>
                <w:rFonts w:hint="eastAsia" w:ascii="宋体" w:hAnsi="宋体"/>
                <w:kern w:val="0"/>
                <w:sz w:val="24"/>
                <w:szCs w:val="24"/>
              </w:rPr>
              <w:t>4</w:t>
            </w:r>
          </w:p>
        </w:tc>
        <w:tc>
          <w:tcPr>
            <w:tcW w:w="1381" w:type="dxa"/>
            <w:vAlign w:val="center"/>
          </w:tcPr>
          <w:p>
            <w:pPr>
              <w:spacing w:line="360" w:lineRule="auto"/>
              <w:jc w:val="center"/>
              <w:rPr>
                <w:rFonts w:ascii="宋体" w:hAnsi="宋体"/>
                <w:kern w:val="0"/>
                <w:sz w:val="24"/>
                <w:szCs w:val="24"/>
              </w:rPr>
            </w:pPr>
            <w:r>
              <w:rPr>
                <w:rFonts w:hint="eastAsia" w:ascii="宋体" w:hAnsi="宋体"/>
                <w:kern w:val="0"/>
                <w:sz w:val="24"/>
                <w:szCs w:val="24"/>
              </w:rPr>
              <w:t>秩序维护员</w:t>
            </w:r>
          </w:p>
        </w:tc>
        <w:tc>
          <w:tcPr>
            <w:tcW w:w="750" w:type="dxa"/>
            <w:vAlign w:val="center"/>
          </w:tcPr>
          <w:p>
            <w:pPr>
              <w:spacing w:line="360" w:lineRule="auto"/>
              <w:jc w:val="center"/>
              <w:rPr>
                <w:rFonts w:ascii="宋体" w:hAnsi="宋体"/>
                <w:kern w:val="0"/>
                <w:sz w:val="24"/>
                <w:szCs w:val="24"/>
              </w:rPr>
            </w:pPr>
            <w:r>
              <w:rPr>
                <w:rFonts w:ascii="宋体" w:hAnsi="宋体"/>
                <w:kern w:val="0"/>
                <w:sz w:val="24"/>
                <w:szCs w:val="24"/>
              </w:rPr>
              <w:t>8</w:t>
            </w:r>
          </w:p>
        </w:tc>
        <w:tc>
          <w:tcPr>
            <w:tcW w:w="4022" w:type="dxa"/>
            <w:vAlign w:val="center"/>
          </w:tcPr>
          <w:p>
            <w:pPr>
              <w:spacing w:line="360" w:lineRule="auto"/>
              <w:jc w:val="left"/>
              <w:rPr>
                <w:rFonts w:ascii="宋体" w:hAnsi="宋体"/>
                <w:kern w:val="0"/>
                <w:sz w:val="24"/>
                <w:szCs w:val="24"/>
              </w:rPr>
            </w:pPr>
            <w:r>
              <w:rPr>
                <w:rFonts w:hint="eastAsia" w:ascii="宋体" w:hAnsi="宋体"/>
                <w:kern w:val="0"/>
                <w:sz w:val="24"/>
                <w:szCs w:val="24"/>
              </w:rPr>
              <w:t>男性，50周岁以下。至少4人持有</w:t>
            </w:r>
            <w:r>
              <w:rPr>
                <w:rFonts w:hint="eastAsia" w:ascii="宋体" w:hAnsi="宋体"/>
                <w:kern w:val="0"/>
                <w:sz w:val="24"/>
                <w:szCs w:val="24"/>
                <w:lang w:val="en-US" w:eastAsia="zh-CN"/>
              </w:rPr>
              <w:t>公安机关颁发的保安员证书</w:t>
            </w:r>
            <w:r>
              <w:rPr>
                <w:rFonts w:hint="eastAsia" w:ascii="宋体" w:hAnsi="宋体"/>
                <w:kern w:val="0"/>
                <w:sz w:val="24"/>
                <w:szCs w:val="24"/>
              </w:rPr>
              <w:t>。</w:t>
            </w:r>
          </w:p>
        </w:tc>
        <w:tc>
          <w:tcPr>
            <w:tcW w:w="1222" w:type="dxa"/>
            <w:vAlign w:val="center"/>
          </w:tcPr>
          <w:p>
            <w:pPr>
              <w:spacing w:line="360" w:lineRule="auto"/>
              <w:jc w:val="center"/>
              <w:rPr>
                <w:rFonts w:ascii="宋体" w:hAnsi="宋体"/>
                <w:kern w:val="0"/>
                <w:sz w:val="24"/>
                <w:szCs w:val="24"/>
              </w:rPr>
            </w:pPr>
            <w:r>
              <w:rPr>
                <w:rFonts w:hint="eastAsia" w:ascii="宋体" w:hAnsi="宋体"/>
                <w:kern w:val="0"/>
                <w:sz w:val="24"/>
                <w:szCs w:val="24"/>
              </w:rPr>
              <w:t>否</w:t>
            </w:r>
          </w:p>
        </w:tc>
        <w:tc>
          <w:tcPr>
            <w:tcW w:w="1506" w:type="dxa"/>
            <w:vAlign w:val="center"/>
          </w:tcPr>
          <w:p>
            <w:pPr>
              <w:spacing w:line="360" w:lineRule="auto"/>
              <w:jc w:val="center"/>
              <w:rPr>
                <w:rFonts w:ascii="宋体" w:hAnsi="宋体"/>
                <w:kern w:val="0"/>
                <w:sz w:val="24"/>
                <w:szCs w:val="24"/>
              </w:rPr>
            </w:pPr>
            <w:r>
              <w:rPr>
                <w:rFonts w:hint="eastAsia" w:ascii="宋体" w:hAnsi="宋体"/>
                <w:kern w:val="0"/>
                <w:sz w:val="24"/>
                <w:szCs w:val="24"/>
              </w:rPr>
              <w:t>24小时值守</w:t>
            </w:r>
          </w:p>
          <w:p>
            <w:pPr>
              <w:spacing w:line="360" w:lineRule="auto"/>
              <w:jc w:val="center"/>
              <w:rPr>
                <w:rFonts w:ascii="宋体" w:hAnsi="宋体"/>
                <w:kern w:val="0"/>
                <w:sz w:val="24"/>
                <w:szCs w:val="24"/>
              </w:rPr>
            </w:pPr>
            <w:r>
              <w:rPr>
                <w:rFonts w:hint="eastAsia" w:ascii="宋体" w:hAnsi="宋体"/>
                <w:kern w:val="0"/>
                <w:sz w:val="24"/>
                <w:szCs w:val="24"/>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60" w:lineRule="auto"/>
              <w:jc w:val="center"/>
              <w:rPr>
                <w:rFonts w:ascii="宋体" w:hAnsi="宋体"/>
                <w:kern w:val="0"/>
                <w:sz w:val="24"/>
                <w:szCs w:val="24"/>
              </w:rPr>
            </w:pPr>
            <w:r>
              <w:rPr>
                <w:rFonts w:hint="eastAsia" w:ascii="宋体" w:hAnsi="宋体"/>
                <w:kern w:val="0"/>
                <w:sz w:val="24"/>
                <w:szCs w:val="24"/>
              </w:rPr>
              <w:t>5</w:t>
            </w:r>
          </w:p>
        </w:tc>
        <w:tc>
          <w:tcPr>
            <w:tcW w:w="1381" w:type="dxa"/>
            <w:vAlign w:val="center"/>
          </w:tcPr>
          <w:p>
            <w:pPr>
              <w:spacing w:line="360" w:lineRule="auto"/>
              <w:jc w:val="center"/>
              <w:rPr>
                <w:rFonts w:ascii="宋体" w:hAnsi="宋体"/>
                <w:kern w:val="0"/>
                <w:sz w:val="24"/>
                <w:szCs w:val="24"/>
              </w:rPr>
            </w:pPr>
            <w:r>
              <w:rPr>
                <w:rFonts w:hint="eastAsia" w:ascii="宋体" w:hAnsi="宋体"/>
                <w:kern w:val="0"/>
                <w:sz w:val="24"/>
                <w:szCs w:val="24"/>
              </w:rPr>
              <w:t>保洁员</w:t>
            </w:r>
          </w:p>
        </w:tc>
        <w:tc>
          <w:tcPr>
            <w:tcW w:w="750" w:type="dxa"/>
            <w:vAlign w:val="center"/>
          </w:tcPr>
          <w:p>
            <w:pPr>
              <w:spacing w:line="360" w:lineRule="auto"/>
              <w:jc w:val="center"/>
              <w:rPr>
                <w:rFonts w:ascii="宋体" w:hAnsi="宋体"/>
                <w:kern w:val="0"/>
                <w:sz w:val="24"/>
                <w:szCs w:val="24"/>
              </w:rPr>
            </w:pPr>
            <w:r>
              <w:rPr>
                <w:rFonts w:ascii="宋体" w:hAnsi="宋体"/>
                <w:kern w:val="0"/>
                <w:sz w:val="24"/>
                <w:szCs w:val="24"/>
              </w:rPr>
              <w:t>4</w:t>
            </w:r>
          </w:p>
        </w:tc>
        <w:tc>
          <w:tcPr>
            <w:tcW w:w="4022" w:type="dxa"/>
            <w:vAlign w:val="center"/>
          </w:tcPr>
          <w:p>
            <w:pPr>
              <w:spacing w:line="360" w:lineRule="auto"/>
              <w:jc w:val="left"/>
              <w:rPr>
                <w:rFonts w:hint="eastAsia" w:ascii="宋体" w:hAnsi="宋体" w:eastAsia="宋体"/>
                <w:kern w:val="0"/>
                <w:sz w:val="24"/>
                <w:szCs w:val="24"/>
                <w:lang w:eastAsia="zh-CN"/>
              </w:rPr>
            </w:pPr>
            <w:r>
              <w:rPr>
                <w:rFonts w:hint="eastAsia" w:ascii="宋体" w:hAnsi="宋体"/>
                <w:kern w:val="0"/>
                <w:sz w:val="24"/>
                <w:szCs w:val="24"/>
              </w:rPr>
              <w:t>50周岁以下，具备卫生防疫部门或医疗机构颁发的健康证，最少2人具备天津市爱国卫生运动委员会办公室颁发的《天津市病媒生物防制培训证书》。至少1人具备《特种作业操作证（高处作业）》。上述两种证书不接受兼持</w:t>
            </w:r>
            <w:r>
              <w:rPr>
                <w:rFonts w:hint="eastAsia" w:ascii="宋体" w:hAnsi="宋体"/>
                <w:kern w:val="0"/>
                <w:sz w:val="24"/>
                <w:szCs w:val="24"/>
                <w:lang w:eastAsia="zh-CN"/>
              </w:rPr>
              <w:t>。</w:t>
            </w:r>
          </w:p>
        </w:tc>
        <w:tc>
          <w:tcPr>
            <w:tcW w:w="1222" w:type="dxa"/>
            <w:vAlign w:val="center"/>
          </w:tcPr>
          <w:p>
            <w:pPr>
              <w:spacing w:line="360" w:lineRule="auto"/>
              <w:jc w:val="center"/>
              <w:rPr>
                <w:rFonts w:ascii="宋体" w:hAnsi="宋体"/>
                <w:kern w:val="0"/>
                <w:sz w:val="24"/>
                <w:szCs w:val="24"/>
              </w:rPr>
            </w:pPr>
            <w:r>
              <w:rPr>
                <w:rFonts w:hint="eastAsia" w:ascii="宋体" w:hAnsi="宋体"/>
                <w:kern w:val="0"/>
                <w:sz w:val="24"/>
                <w:szCs w:val="24"/>
              </w:rPr>
              <w:t>否</w:t>
            </w:r>
          </w:p>
        </w:tc>
        <w:tc>
          <w:tcPr>
            <w:tcW w:w="1506" w:type="dxa"/>
            <w:vAlign w:val="center"/>
          </w:tcPr>
          <w:p>
            <w:pPr>
              <w:spacing w:line="360" w:lineRule="auto"/>
              <w:jc w:val="center"/>
              <w:rPr>
                <w:rFonts w:ascii="宋体" w:hAnsi="宋体"/>
                <w:kern w:val="0"/>
                <w:sz w:val="24"/>
                <w:szCs w:val="24"/>
              </w:rPr>
            </w:pPr>
            <w:r>
              <w:rPr>
                <w:rFonts w:hint="eastAsia" w:ascii="宋体" w:hAnsi="宋体"/>
                <w:kern w:val="0"/>
                <w:sz w:val="24"/>
                <w:szCs w:val="24"/>
              </w:rPr>
              <w:t>每周5天</w:t>
            </w:r>
          </w:p>
          <w:p>
            <w:pPr>
              <w:spacing w:line="360" w:lineRule="auto"/>
              <w:jc w:val="center"/>
              <w:rPr>
                <w:rFonts w:ascii="宋体" w:hAnsi="宋体"/>
                <w:kern w:val="0"/>
                <w:sz w:val="24"/>
                <w:szCs w:val="24"/>
              </w:rPr>
            </w:pPr>
            <w:r>
              <w:rPr>
                <w:rFonts w:hint="eastAsia" w:ascii="宋体" w:hAnsi="宋体"/>
                <w:kern w:val="0"/>
                <w:sz w:val="24"/>
                <w:szCs w:val="24"/>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60" w:lineRule="auto"/>
              <w:jc w:val="center"/>
              <w:rPr>
                <w:rFonts w:ascii="宋体" w:hAnsi="宋体"/>
                <w:kern w:val="0"/>
                <w:sz w:val="24"/>
                <w:szCs w:val="24"/>
              </w:rPr>
            </w:pPr>
            <w:r>
              <w:rPr>
                <w:rFonts w:hint="eastAsia" w:ascii="宋体" w:hAnsi="宋体"/>
                <w:kern w:val="0"/>
                <w:sz w:val="24"/>
                <w:szCs w:val="24"/>
              </w:rPr>
              <w:t>6</w:t>
            </w:r>
          </w:p>
        </w:tc>
        <w:tc>
          <w:tcPr>
            <w:tcW w:w="1381" w:type="dxa"/>
            <w:vAlign w:val="center"/>
          </w:tcPr>
          <w:p>
            <w:pPr>
              <w:spacing w:line="360" w:lineRule="auto"/>
              <w:jc w:val="center"/>
              <w:rPr>
                <w:rFonts w:ascii="宋体" w:hAnsi="宋体"/>
                <w:kern w:val="0"/>
                <w:sz w:val="24"/>
                <w:szCs w:val="24"/>
              </w:rPr>
            </w:pPr>
            <w:r>
              <w:rPr>
                <w:rFonts w:hint="eastAsia" w:ascii="宋体" w:hAnsi="宋体"/>
                <w:kern w:val="0"/>
                <w:sz w:val="24"/>
                <w:szCs w:val="24"/>
              </w:rPr>
              <w:t>综合维修工</w:t>
            </w:r>
          </w:p>
        </w:tc>
        <w:tc>
          <w:tcPr>
            <w:tcW w:w="750" w:type="dxa"/>
            <w:vAlign w:val="center"/>
          </w:tcPr>
          <w:p>
            <w:pPr>
              <w:spacing w:line="360" w:lineRule="auto"/>
              <w:jc w:val="center"/>
              <w:rPr>
                <w:rFonts w:ascii="宋体" w:hAnsi="宋体"/>
                <w:kern w:val="0"/>
                <w:sz w:val="24"/>
                <w:szCs w:val="24"/>
              </w:rPr>
            </w:pPr>
            <w:r>
              <w:rPr>
                <w:rFonts w:ascii="宋体" w:hAnsi="宋体"/>
                <w:kern w:val="0"/>
                <w:sz w:val="24"/>
                <w:szCs w:val="24"/>
              </w:rPr>
              <w:t>1</w:t>
            </w:r>
          </w:p>
        </w:tc>
        <w:tc>
          <w:tcPr>
            <w:tcW w:w="4022" w:type="dxa"/>
            <w:vAlign w:val="center"/>
          </w:tcPr>
          <w:p>
            <w:pPr>
              <w:spacing w:line="360" w:lineRule="auto"/>
              <w:jc w:val="left"/>
              <w:rPr>
                <w:rFonts w:hint="eastAsia" w:ascii="宋体" w:hAnsi="宋体" w:eastAsia="宋体"/>
                <w:kern w:val="0"/>
                <w:sz w:val="24"/>
                <w:szCs w:val="24"/>
                <w:lang w:eastAsia="zh-CN"/>
              </w:rPr>
            </w:pPr>
            <w:r>
              <w:rPr>
                <w:rFonts w:hint="eastAsia" w:ascii="宋体" w:hAnsi="宋体"/>
                <w:kern w:val="0"/>
                <w:sz w:val="24"/>
                <w:szCs w:val="24"/>
              </w:rPr>
              <w:t>男性，</w:t>
            </w:r>
            <w:r>
              <w:rPr>
                <w:rFonts w:ascii="宋体" w:hAnsi="宋体"/>
                <w:kern w:val="0"/>
                <w:sz w:val="24"/>
                <w:szCs w:val="24"/>
              </w:rPr>
              <w:t>50</w:t>
            </w:r>
            <w:r>
              <w:rPr>
                <w:rFonts w:hint="eastAsia" w:ascii="宋体" w:hAnsi="宋体"/>
                <w:kern w:val="0"/>
                <w:sz w:val="24"/>
                <w:szCs w:val="24"/>
              </w:rPr>
              <w:t>周岁以下。需</w:t>
            </w:r>
            <w:r>
              <w:rPr>
                <w:rFonts w:hint="eastAsia"/>
                <w:kern w:val="0"/>
                <w:sz w:val="24"/>
                <w:szCs w:val="24"/>
              </w:rPr>
              <w:t>具备工程技术系列中级</w:t>
            </w:r>
            <w:r>
              <w:rPr>
                <w:rFonts w:hint="eastAsia"/>
                <w:kern w:val="0"/>
                <w:sz w:val="24"/>
                <w:szCs w:val="24"/>
                <w:lang w:val="en-US" w:eastAsia="zh-CN"/>
              </w:rPr>
              <w:t>或以上</w:t>
            </w:r>
            <w:r>
              <w:rPr>
                <w:rFonts w:hint="eastAsia"/>
                <w:kern w:val="0"/>
                <w:sz w:val="24"/>
                <w:szCs w:val="24"/>
              </w:rPr>
              <w:t>职称</w:t>
            </w:r>
            <w:r>
              <w:rPr>
                <w:rFonts w:hint="eastAsia"/>
                <w:color w:val="FF0000"/>
                <w:kern w:val="0"/>
                <w:sz w:val="24"/>
                <w:szCs w:val="24"/>
                <w:lang w:eastAsia="zh-CN"/>
              </w:rPr>
              <w:t>（</w:t>
            </w:r>
            <w:r>
              <w:rPr>
                <w:rFonts w:hint="eastAsia"/>
                <w:color w:val="FF0000"/>
                <w:kern w:val="0"/>
                <w:sz w:val="24"/>
                <w:szCs w:val="24"/>
              </w:rPr>
              <w:t>机电</w:t>
            </w:r>
            <w:r>
              <w:rPr>
                <w:rFonts w:hint="eastAsia"/>
                <w:color w:val="FF0000"/>
                <w:kern w:val="0"/>
                <w:sz w:val="24"/>
                <w:szCs w:val="24"/>
                <w:lang w:val="en-US" w:eastAsia="zh-CN"/>
              </w:rPr>
              <w:t>相关专业</w:t>
            </w:r>
            <w:r>
              <w:rPr>
                <w:rFonts w:hint="eastAsia"/>
                <w:color w:val="FF0000"/>
                <w:kern w:val="0"/>
                <w:sz w:val="24"/>
                <w:szCs w:val="24"/>
                <w:lang w:eastAsia="zh-CN"/>
              </w:rPr>
              <w:t>）</w:t>
            </w:r>
            <w:r>
              <w:rPr>
                <w:rFonts w:hint="eastAsia"/>
                <w:kern w:val="0"/>
                <w:sz w:val="24"/>
                <w:szCs w:val="24"/>
                <w:lang w:eastAsia="zh-CN"/>
              </w:rPr>
              <w:t>、</w:t>
            </w:r>
            <w:r>
              <w:rPr>
                <w:rFonts w:hint="eastAsia" w:ascii="宋体" w:hAnsi="宋体"/>
                <w:kern w:val="0"/>
                <w:sz w:val="24"/>
                <w:szCs w:val="24"/>
              </w:rPr>
              <w:t>《特种作业操作证（高压电工作业）》、《特种作业操作证（制冷与空调作业）》</w:t>
            </w:r>
            <w:r>
              <w:rPr>
                <w:rFonts w:hint="eastAsia" w:ascii="宋体" w:hAnsi="宋体"/>
                <w:kern w:val="0"/>
                <w:sz w:val="24"/>
                <w:szCs w:val="24"/>
                <w:lang w:eastAsia="zh-CN"/>
              </w:rPr>
              <w:t>。</w:t>
            </w:r>
          </w:p>
        </w:tc>
        <w:tc>
          <w:tcPr>
            <w:tcW w:w="1222" w:type="dxa"/>
            <w:vAlign w:val="center"/>
          </w:tcPr>
          <w:p>
            <w:pPr>
              <w:spacing w:line="360" w:lineRule="auto"/>
              <w:jc w:val="center"/>
              <w:rPr>
                <w:rFonts w:ascii="宋体" w:hAnsi="宋体"/>
                <w:kern w:val="0"/>
                <w:sz w:val="24"/>
                <w:szCs w:val="24"/>
              </w:rPr>
            </w:pPr>
            <w:r>
              <w:rPr>
                <w:rFonts w:hint="eastAsia" w:ascii="宋体" w:hAnsi="宋体"/>
                <w:kern w:val="0"/>
                <w:sz w:val="24"/>
                <w:szCs w:val="24"/>
              </w:rPr>
              <w:t>否</w:t>
            </w:r>
          </w:p>
        </w:tc>
        <w:tc>
          <w:tcPr>
            <w:tcW w:w="1506" w:type="dxa"/>
            <w:vAlign w:val="center"/>
          </w:tcPr>
          <w:p>
            <w:pPr>
              <w:spacing w:line="360" w:lineRule="auto"/>
              <w:jc w:val="center"/>
              <w:rPr>
                <w:rFonts w:ascii="宋体" w:hAnsi="宋体"/>
                <w:kern w:val="0"/>
                <w:sz w:val="24"/>
                <w:szCs w:val="24"/>
              </w:rPr>
            </w:pPr>
            <w:r>
              <w:rPr>
                <w:rFonts w:hint="eastAsia" w:ascii="宋体" w:hAnsi="宋体"/>
                <w:kern w:val="0"/>
                <w:sz w:val="24"/>
                <w:szCs w:val="24"/>
              </w:rPr>
              <w:t>每周5天</w:t>
            </w:r>
          </w:p>
          <w:p>
            <w:pPr>
              <w:spacing w:line="360" w:lineRule="auto"/>
              <w:jc w:val="center"/>
              <w:rPr>
                <w:rFonts w:ascii="宋体" w:hAnsi="宋体"/>
                <w:kern w:val="0"/>
                <w:sz w:val="24"/>
                <w:szCs w:val="24"/>
              </w:rPr>
            </w:pPr>
            <w:r>
              <w:rPr>
                <w:rFonts w:hint="eastAsia" w:ascii="宋体" w:hAnsi="宋体"/>
                <w:kern w:val="0"/>
                <w:sz w:val="24"/>
                <w:szCs w:val="24"/>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60" w:lineRule="auto"/>
              <w:jc w:val="center"/>
              <w:rPr>
                <w:rFonts w:ascii="宋体" w:hAnsi="宋体"/>
                <w:kern w:val="0"/>
                <w:sz w:val="24"/>
                <w:szCs w:val="24"/>
              </w:rPr>
            </w:pPr>
            <w:r>
              <w:rPr>
                <w:rFonts w:hint="eastAsia" w:ascii="宋体" w:hAnsi="宋体"/>
                <w:kern w:val="0"/>
                <w:sz w:val="24"/>
                <w:szCs w:val="24"/>
              </w:rPr>
              <w:t>7</w:t>
            </w:r>
          </w:p>
        </w:tc>
        <w:tc>
          <w:tcPr>
            <w:tcW w:w="1381" w:type="dxa"/>
            <w:vAlign w:val="center"/>
          </w:tcPr>
          <w:p>
            <w:pPr>
              <w:spacing w:line="360" w:lineRule="auto"/>
              <w:jc w:val="center"/>
              <w:rPr>
                <w:rFonts w:ascii="宋体" w:hAnsi="宋体"/>
                <w:kern w:val="0"/>
                <w:sz w:val="24"/>
                <w:szCs w:val="24"/>
              </w:rPr>
            </w:pPr>
            <w:r>
              <w:rPr>
                <w:rFonts w:ascii="宋体" w:hAnsi="宋体"/>
                <w:kern w:val="0"/>
                <w:sz w:val="24"/>
                <w:szCs w:val="24"/>
              </w:rPr>
              <w:t>司机</w:t>
            </w:r>
          </w:p>
        </w:tc>
        <w:tc>
          <w:tcPr>
            <w:tcW w:w="750" w:type="dxa"/>
            <w:vAlign w:val="center"/>
          </w:tcPr>
          <w:p>
            <w:pPr>
              <w:spacing w:line="360" w:lineRule="auto"/>
              <w:jc w:val="center"/>
              <w:rPr>
                <w:rFonts w:ascii="宋体" w:hAnsi="宋体"/>
                <w:kern w:val="0"/>
                <w:sz w:val="24"/>
                <w:szCs w:val="24"/>
              </w:rPr>
            </w:pPr>
            <w:r>
              <w:rPr>
                <w:rFonts w:hint="eastAsia" w:ascii="宋体" w:hAnsi="宋体"/>
                <w:kern w:val="0"/>
                <w:sz w:val="24"/>
                <w:szCs w:val="24"/>
              </w:rPr>
              <w:t>3</w:t>
            </w:r>
          </w:p>
        </w:tc>
        <w:tc>
          <w:tcPr>
            <w:tcW w:w="4022" w:type="dxa"/>
            <w:vAlign w:val="center"/>
          </w:tcPr>
          <w:p>
            <w:pPr>
              <w:spacing w:line="360" w:lineRule="auto"/>
              <w:jc w:val="left"/>
              <w:rPr>
                <w:rFonts w:ascii="宋体" w:hAnsi="宋体"/>
                <w:kern w:val="0"/>
                <w:sz w:val="24"/>
                <w:szCs w:val="24"/>
              </w:rPr>
            </w:pPr>
            <w:r>
              <w:rPr>
                <w:rFonts w:hint="eastAsia" w:ascii="宋体" w:hAnsi="宋体"/>
                <w:kern w:val="0"/>
                <w:sz w:val="24"/>
                <w:szCs w:val="24"/>
              </w:rPr>
              <w:t>男性，55周岁以下，5年以上驾龄，具备《机动车驾驶证》（准驾车型至少包含C1）。</w:t>
            </w:r>
          </w:p>
        </w:tc>
        <w:tc>
          <w:tcPr>
            <w:tcW w:w="1222" w:type="dxa"/>
            <w:vAlign w:val="center"/>
          </w:tcPr>
          <w:p>
            <w:pPr>
              <w:spacing w:line="360" w:lineRule="auto"/>
              <w:jc w:val="center"/>
              <w:rPr>
                <w:rFonts w:ascii="宋体" w:hAnsi="宋体"/>
                <w:kern w:val="0"/>
                <w:sz w:val="24"/>
                <w:szCs w:val="24"/>
              </w:rPr>
            </w:pPr>
            <w:r>
              <w:rPr>
                <w:rFonts w:hint="eastAsia" w:ascii="宋体" w:hAnsi="宋体"/>
                <w:kern w:val="0"/>
                <w:sz w:val="24"/>
                <w:szCs w:val="24"/>
              </w:rPr>
              <w:t>否</w:t>
            </w:r>
          </w:p>
        </w:tc>
        <w:tc>
          <w:tcPr>
            <w:tcW w:w="1506" w:type="dxa"/>
            <w:vAlign w:val="center"/>
          </w:tcPr>
          <w:p>
            <w:pPr>
              <w:spacing w:line="360" w:lineRule="auto"/>
              <w:jc w:val="center"/>
              <w:rPr>
                <w:rFonts w:ascii="宋体" w:hAnsi="宋体"/>
                <w:kern w:val="0"/>
                <w:sz w:val="24"/>
                <w:szCs w:val="24"/>
              </w:rPr>
            </w:pPr>
            <w:r>
              <w:rPr>
                <w:rFonts w:hint="eastAsia" w:ascii="宋体" w:hAnsi="宋体"/>
                <w:kern w:val="0"/>
                <w:sz w:val="24"/>
                <w:szCs w:val="24"/>
              </w:rPr>
              <w:t>每周5天</w:t>
            </w:r>
          </w:p>
          <w:p>
            <w:pPr>
              <w:spacing w:line="360" w:lineRule="auto"/>
              <w:jc w:val="center"/>
              <w:rPr>
                <w:rFonts w:ascii="宋体" w:hAnsi="宋体"/>
                <w:kern w:val="0"/>
                <w:sz w:val="24"/>
                <w:szCs w:val="24"/>
              </w:rPr>
            </w:pPr>
            <w:r>
              <w:rPr>
                <w:rFonts w:hint="eastAsia" w:ascii="宋体" w:hAnsi="宋体"/>
                <w:kern w:val="0"/>
                <w:sz w:val="24"/>
                <w:szCs w:val="24"/>
              </w:rPr>
              <w:t>每天8小时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gridSpan w:val="2"/>
            <w:vAlign w:val="center"/>
          </w:tcPr>
          <w:p>
            <w:pPr>
              <w:spacing w:line="360" w:lineRule="auto"/>
              <w:jc w:val="center"/>
              <w:rPr>
                <w:rFonts w:ascii="宋体" w:hAnsi="宋体"/>
                <w:kern w:val="0"/>
                <w:sz w:val="24"/>
                <w:szCs w:val="24"/>
              </w:rPr>
            </w:pPr>
            <w:r>
              <w:rPr>
                <w:rFonts w:hint="eastAsia" w:ascii="宋体" w:hAnsi="宋体" w:cs="宋体"/>
                <w:kern w:val="0"/>
                <w:sz w:val="24"/>
                <w:szCs w:val="24"/>
              </w:rPr>
              <w:t>合计</w:t>
            </w:r>
          </w:p>
        </w:tc>
        <w:tc>
          <w:tcPr>
            <w:tcW w:w="7500" w:type="dxa"/>
            <w:gridSpan w:val="4"/>
            <w:vAlign w:val="center"/>
          </w:tcPr>
          <w:p>
            <w:pPr>
              <w:spacing w:line="360" w:lineRule="auto"/>
              <w:jc w:val="center"/>
              <w:rPr>
                <w:rFonts w:ascii="宋体" w:hAnsi="宋体"/>
                <w:kern w:val="0"/>
                <w:sz w:val="24"/>
                <w:szCs w:val="24"/>
              </w:rPr>
            </w:pPr>
            <w:r>
              <w:rPr>
                <w:rFonts w:hint="eastAsia" w:ascii="宋体" w:hAnsi="宋体"/>
                <w:kern w:val="0"/>
                <w:sz w:val="24"/>
                <w:szCs w:val="24"/>
              </w:rPr>
              <w:t>19</w:t>
            </w:r>
            <w:r>
              <w:rPr>
                <w:rFonts w:hint="eastAsia" w:ascii="宋体" w:hAnsi="宋体" w:cs="宋体"/>
                <w:kern w:val="0"/>
                <w:sz w:val="24"/>
                <w:szCs w:val="24"/>
              </w:rPr>
              <w:t>人</w:t>
            </w:r>
          </w:p>
        </w:tc>
      </w:tr>
    </w:tbl>
    <w:p>
      <w:pPr>
        <w:pStyle w:val="27"/>
        <w:spacing w:line="360" w:lineRule="auto"/>
        <w:ind w:firstLine="480" w:firstLineChars="200"/>
        <w:jc w:val="both"/>
        <w:rPr>
          <w:rFonts w:ascii="Times New Roman" w:hAnsi="Times New Roman" w:eastAsia="宋体" w:cs="Times New Roman"/>
          <w:color w:val="auto"/>
          <w:kern w:val="2"/>
        </w:rPr>
      </w:pPr>
      <w:r>
        <w:rPr>
          <w:rFonts w:hint="eastAsia"/>
        </w:rPr>
        <w:t>注：</w:t>
      </w:r>
    </w:p>
    <w:p>
      <w:pPr>
        <w:spacing w:line="360" w:lineRule="auto"/>
        <w:ind w:firstLine="480" w:firstLineChars="200"/>
        <w:jc w:val="left"/>
        <w:rPr>
          <w:sz w:val="24"/>
        </w:rPr>
      </w:pPr>
      <w:r>
        <w:rPr>
          <w:sz w:val="24"/>
        </w:rPr>
        <w:t>按劳动法</w:t>
      </w:r>
      <w:r>
        <w:rPr>
          <w:rFonts w:hint="eastAsia"/>
          <w:sz w:val="24"/>
        </w:rPr>
        <w:t>和国务院关于职工工作时间的规定</w:t>
      </w:r>
      <w:r>
        <w:rPr>
          <w:sz w:val="24"/>
        </w:rPr>
        <w:t>，正常情况下，上述人员每日工作不超过8小时，每周工作不超过40小时。需安排加班的，</w:t>
      </w:r>
      <w:r>
        <w:rPr>
          <w:rFonts w:hint="eastAsia"/>
          <w:sz w:val="24"/>
        </w:rPr>
        <w:t>成交</w:t>
      </w:r>
      <w:r>
        <w:rPr>
          <w:sz w:val="24"/>
        </w:rPr>
        <w:t>供应商应配合并向劳动者支付加班费。</w:t>
      </w:r>
    </w:p>
    <w:p>
      <w:pPr>
        <w:spacing w:line="360" w:lineRule="auto"/>
        <w:ind w:firstLine="480" w:firstLineChars="200"/>
        <w:jc w:val="left"/>
        <w:rPr>
          <w:sz w:val="24"/>
        </w:rPr>
      </w:pPr>
      <w:r>
        <w:rPr>
          <w:rFonts w:hint="eastAsia"/>
          <w:sz w:val="24"/>
        </w:rPr>
        <w:t>一旦获得成交资格，上述人员按要求投入本项目服务，非经采购人同意，不随意更换人员。</w:t>
      </w:r>
    </w:p>
    <w:p>
      <w:pPr>
        <w:spacing w:line="360" w:lineRule="auto"/>
        <w:ind w:firstLine="480"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 w:val="24"/>
          <w:szCs w:val="24"/>
        </w:rPr>
      </w:pPr>
      <w:r>
        <w:rPr>
          <w:rFonts w:hint="eastAsia" w:ascii="宋体" w:hAnsi="宋体"/>
          <w:b/>
          <w:bCs/>
          <w:sz w:val="24"/>
          <w:szCs w:val="24"/>
          <w:lang w:val="en-US" w:eastAsia="zh-CN"/>
        </w:rPr>
        <w:t>三</w:t>
      </w:r>
      <w:r>
        <w:rPr>
          <w:rFonts w:hint="eastAsia" w:ascii="宋体" w:hAnsi="宋体"/>
          <w:b/>
          <w:bCs/>
          <w:sz w:val="24"/>
          <w:szCs w:val="24"/>
        </w:rPr>
        <w:t>、各岗位人员具体工作内容、职责及服务标准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物业服务范围包括：楼内外公共区域保洁服务、秩序维护和监控室内值守服务、会议服务、前台接待服务、综合维修服务、司机驾驶服务。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（一）项目经理岗位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1.项目经理具体工作内容：负责项目物业管理全面日常管理工作。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（1）负责项目全面工作。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（2）按照体系落实好日常工作检查及各岗位人员完成任务。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（3）督促落实培训计划，鼓励员工积极学习专业知识。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（4）按时检查员工规范执行情况，并提出改进要求。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（5）完成上级安排的其它工作任务。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3.项目经理服务标准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（1）负责党政机关办公用房管理服务中心项目的全面领导与管理工作，制定工作目标、工作计划并组织实施。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（2）负责制定本项目工作计划并组织实施，负责定期检查、监督、查处违规，做出纠正措施达到规定标准。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（3）负责处理采购人对本项目工作人员的投诉，不拖延、不推诿，与采购人保持良好的关系。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（4）负责调动本项目员工工作积极性，提高员工业务素质，检查督促各岗位员工认真履行职责。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（5）自觉接受采购人的监督。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（6）保持与公司相关部门的良好关系，配合公司抓好安全防范等相关工作。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（二）楼内外公共区域保洁服务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其服务范围含大理道</w:t>
      </w:r>
      <w:r>
        <w:rPr>
          <w:rFonts w:ascii="宋体" w:hAnsi="宋体"/>
          <w:sz w:val="24"/>
          <w:szCs w:val="24"/>
        </w:rPr>
        <w:t>10</w:t>
      </w:r>
      <w:r>
        <w:rPr>
          <w:rFonts w:hint="eastAsia" w:ascii="宋体" w:hAnsi="宋体"/>
          <w:sz w:val="24"/>
          <w:szCs w:val="24"/>
        </w:rPr>
        <w:t>号和18号办公楼，各区域清洁工作。时间频次及细化内容要求如下：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1、公共区域部分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（1）指示牌和公告牌，每天配清洁剂擦拭两次，随时保洁，做到无灰尘、无污渍、明亮。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（2）地面，每日推尘至少三次，随时保洁，每月清洗一次，做到无灰尘、无污渍、无垃圾、光亮。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（3）扶手、栏杆、踢脚板，每日擦拭一次，随时保洁，做到无灰尘、无污渍。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（4）墙面、墙角、屋顶，每月清洁高处一次，做到无灰尘、无污渍。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（5）公共区桌、椅，每日擦拭一次，随时保洁，做到无灰尘、无污渍。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（6）垃圾桶、篓，每日清理垃圾至少一次，每周清洁一次，做到垃圾存量不超过三分之二、无异味。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2、会议室等部分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（1）地面，每天清扫、拖擦两遍，随时保洁，做到无灰尘、无污迹。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（2）墙面、墙角，每周擦拭低位一次，每月清洁高处一次，做到无蛛网、无污渍。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（3）电源盒、地脚线、装饰物，每天擦拭一次，随时保洁，做到无灰尘。无污渍。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（4）玻璃、灯具每月清洁一次，做到光洁明亮、无灰尘、污渍。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（5）桌、椅，每天前后擦拭、整理，随时保洁做到无灰尘、无污渍。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（6）天花板、风口及灯饰，每周全面清洁一次，做到无蛛网、无污渍、无灰尘。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（7）垃圾桶，每日清理垃圾桶至少一次，每周清洁一次，做到垃圾不超过三分之二，无异味。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3、办公室部分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（1）地面：每天清扫、拖擦一遍，做到无灰尘、无污渍。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（2）墙面，每周擦拭低位一次，每月清洁高处一次，做到无蛛网、无污渍。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（3）桌、椅办公家具等，每天擦拭一次，每周上家私蜡保养一次，做到无灰尘、无污渍、光亮如新。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（4）天花板、风口，每周擦拭一次，做到无灰尘，无污渍。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（5）玻璃、灯具每月清洁一次，做到光洁明亮、无灰尘、污渍。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（6）门、窗台、电器开关、装饰物每天擦拭一遍，做到无灰尘、污渍。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（7）中标供应商负责将地毯每季度清洗一次（约200平米，涤纶材质）。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4、卫生间部分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（1）地面，每日配清洁剂清洁一次，并随时保洁，每周全面清洁一次，做到无水迹、无污迹、无垃圾、无异味。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（2）隔板、墙身，每日擦拭一次，每周全面清洁一次，做到无灰尘、无污迹。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（3）镜面，每日清抹至少两次，随时保洁，每周用玻璃刮刀刮洗一次，做到无水迹、无污迹、无灰尘、无手印、光洁、明亮。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（4）墙面，每日擦拭低位一次，每月清洁高处一次，做到无灰尘、无污迹。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（5）垃圾桶，每日清理垃圾桶至少三次，每周清洁一次，做到垃圾不超过三分之二、无异味。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（6）大小便器，每日随时清洁，每周全面清洗一次，无水迹、无污迹、无灰尘。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（7）天花板、风口，每月全面清洁一次，做到无蛛网、无污渍。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（8）洗手盆及台面，每日清抹至少三次，随时保洁，做到无水迹、无污迹、无灰尘。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（9）夏季每周喷洒消毒杀虫剂一次，防止蚊蝇滋生。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5、楼梯部分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（1）地面及阶梯，每日清扫至少两次，清拖一次，随时保洁；地毯地面每日吸尘，每月清洗，做到无灰尘、无污迹。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（2）天花板及灯饰，每月用毛巾擦拭一次，做到无灰尘、无污迹。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（3）门、窗，每日随时保洁，每月用玻璃刮刀刮洗一次，做到无水迹、无污迹、无灰尘、无手印、光洁、明亮。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（4）墙面，每日擦拭低位一次，每周清扫一次，每月清洁高处一次，做到无污迹、无蛛网。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（5）扶手、玻璃隔板，每日清抹一次，做到无灰尘、无污迹。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（6）垃圾桶，每日清理垃圾至少两次，每周清洁一次，做到垃圾不超过三分之二，无异味。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（7）消防设施，每日清抹一次，每月全面清洁一次，做到无灰尘、无污迹。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（8）风口，每周进行重点清洁一次，每月全面清洁一次，做到无蛛网、无污渍。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6、院落及地下室部分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（1）地面，每天清扫一次，做到干净、无杂物、油渍。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（2）大门，每月擦洗一次，做到干净、无尘土。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（3）值班室床品每天清洗更换一次，采购人负责提供洗涤设备和洗涤剂。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（4）司机班床品每半月清洗更换一次，采购人负责提供洗涤设备和洗涤剂。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7、做好垃圾清运工作每天收集、清运一遍，垃圾桶每天擦拭一次，对重点部位每周喷洒消杀药物两次。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（三）秩序维护和监控室内值守服务</w:t>
      </w:r>
    </w:p>
    <w:p>
      <w:pPr>
        <w:spacing w:line="360" w:lineRule="auto"/>
        <w:ind w:firstLine="480" w:firstLineChars="200"/>
        <w:rPr>
          <w:rFonts w:ascii="宋体" w:hAnsi="宋体"/>
          <w:sz w:val="24"/>
          <w:szCs w:val="24"/>
        </w:rPr>
      </w:pPr>
      <w:r>
        <w:rPr>
          <w:rFonts w:hint="eastAsia" w:ascii="宋体" w:hAnsi="宋体"/>
          <w:kern w:val="0"/>
          <w:sz w:val="24"/>
          <w:szCs w:val="24"/>
        </w:rPr>
        <w:t>1、秩序维护及安全主管职责（在大理道10号值守）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（1）结合本项目为历史风貌建筑及重点消防管理单位的特点，组织物业人员做好本项目的消防安全管理相关工作。</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（2）编制本项目消防安全管理制度，编制本项目消防安全应急预案。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（3）组织项目全体员工进行消防安全培训及消防演练。</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（4）加强对项目消防设备、器材的巡查、检查，妥善保管并登记造册，落实到人，发现隐患及时上报。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（5）编排每月秩序维护员值班情况表，安排秩序维护员轮班轮休工作。</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（6）处理并上报秩序维护员在工作过程中遇到的各种问题。</w:t>
      </w:r>
    </w:p>
    <w:p>
      <w:pPr>
        <w:spacing w:line="360" w:lineRule="auto"/>
        <w:ind w:firstLine="480" w:firstLineChars="200"/>
        <w:rPr>
          <w:rFonts w:ascii="宋体" w:hAnsi="宋体"/>
          <w:sz w:val="24"/>
          <w:szCs w:val="24"/>
        </w:rPr>
      </w:pPr>
      <w:r>
        <w:rPr>
          <w:rFonts w:hint="eastAsia" w:ascii="宋体" w:hAnsi="宋体"/>
          <w:sz w:val="24"/>
          <w:szCs w:val="24"/>
        </w:rPr>
        <w:t>2、门岗值岗</w:t>
      </w:r>
    </w:p>
    <w:p>
      <w:pPr>
        <w:spacing w:line="360" w:lineRule="auto"/>
        <w:ind w:firstLine="480" w:firstLineChars="200"/>
        <w:rPr>
          <w:rFonts w:ascii="宋体" w:hAnsi="宋体"/>
          <w:sz w:val="24"/>
          <w:szCs w:val="24"/>
        </w:rPr>
      </w:pPr>
      <w:r>
        <w:rPr>
          <w:rFonts w:hint="eastAsia" w:ascii="宋体" w:hAnsi="宋体"/>
          <w:sz w:val="24"/>
          <w:szCs w:val="24"/>
        </w:rPr>
        <w:t>（1）在安排的指定位置上岗，严禁脱岗，当班期间应精神集中，认真负责，严格按照要求落实疫情防控措施。</w:t>
      </w:r>
    </w:p>
    <w:p>
      <w:pPr>
        <w:spacing w:line="360" w:lineRule="auto"/>
        <w:ind w:firstLine="480" w:firstLineChars="200"/>
        <w:rPr>
          <w:rFonts w:ascii="宋体" w:hAnsi="宋体"/>
          <w:sz w:val="24"/>
          <w:szCs w:val="24"/>
        </w:rPr>
      </w:pPr>
      <w:r>
        <w:rPr>
          <w:rFonts w:hint="eastAsia" w:ascii="宋体" w:hAnsi="宋体"/>
          <w:sz w:val="24"/>
          <w:szCs w:val="24"/>
        </w:rPr>
        <w:t>（2）物业管理项目的大门按照项目的作息时间实行开启服务。关闭时，如有车辆出入，当班人员应及时提供开门、关门服务。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发现非本办公楼人员及可疑人员要注意观察其行为表现，礼貌查询，发现问题及时上报。不准商贩、推销人员以及闲杂人等进入物业项目管理区域内。遇到非此物业管理区域的人员，应问清其来此原因、所为何事、要找何人，进行电话联系并做好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（4）对进出物业项目管理区域的机动车辆实行出入证制度、登记制度。禁止载有易燃、易爆、有毒、有害及其他污染物品的车辆进入物业项目管理区域。同时认真填写《车辆进出登记表》。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（5）熟悉本岗地形、地物及消防设施的分布和使用，爱护周围设施，保持清洁卫生，保证办公楼门前车道的畅通。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（6）阻止四吨及四吨以上大型汽车进入物业管理区域（特种车辆和搬运车辆除外）。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（7）在指定处休息，对备用钥匙使用进行登记，做好休息处的清洁工作。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（8）交接岗时按规范操作，按时到岗交接班，遇到特殊情况不能到岗时，应事先请假。当班人员在接班人员未到岗时不得离岗。交接岗时，钥匙要清点、核实数量，认真交接。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（9）夜间未走的车辆要在《车辆进出登记表》中注明，进行登记，并定时巡查，。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（10）快递接收工作。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、车辆疏导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（1）指引车辆缓行安全停放在相应的车位上，保证车辆出行通畅。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（2）提醒司机锁车门、窗，并检查是否漏水、漏油。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（3）进入地下停车场的各种车辆必须按制定位置停放整齐，不准乱停乱放，车头应当与停车线取齐，锁好车门。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（4）严禁在地下停车场内进行维修保养车辆，严禁吸烟，禁止装载和携带易燃易爆物品进入车库，严禁与车辆无关的人员进入。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（5）车辆驶出时在大门外为驶出车辆进行疏导。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（四）会议服务、前台接待服务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1、前台接待服务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（1）听从项目经理调度和指挥，认真做好本岗位工作。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（2）按时到岗，认真执行前台接待任务，并逐一做好每一次来电、来访记录。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（3）准确进行信件、报刊等的收发工作，并及时做好登记记录工作。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（4）工作时，态度应和善热情，应详尽解答来访客人提出的且在自己岗位范围内理应回答的问题。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（5）自觉维护和保持好自己工作范围区域内的环境卫生。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（6）如遇突发情况，应在第一时间采取有效措施，并尽快通知项目经理。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2、会议服务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（1）按照规定，会议服务员于会议开始前半小时必须将一切会议所需准备妥当。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（2）需要签到时，接待人员应示意来宾登记，并配发与会证。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（3）会议开始后，迎宾礼仪关上会议室大门，站立迎宾位置向前移动，指示迟到宾客进入会场。会议开始30分钟后，可撤销迎宾礼仪岗。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（4）会议开始时，会议服务员对全场宾客进行一次沏茶工作，倒水过程中要请示宾客是否饮茶。会议开始后，每20分钟进行一次蓄水工作。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5）会议服务员进行蓄水服务时，右手持水壶，站在宾客的左后方，左手并拢指向茶杯，示意宾客是否蓄水，当得到蓄水要求时，会议服务员需将茶杯拿到宾客身后蓄水，蓄水后将茶杯放回原位并盖上杯盖，仍用左手并拢指向茶杯同时微笑点头，示意宾客饮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（6）会议服务员不得化浓妆、喷用香水，需穿软底工作鞋，走路轻盈，不得佩戴饰物，切忌走路时发出响声。会议服务过程中，应尽一切可能降低对会议的干扰。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（7）会议结束后，由会议服务员协助保洁人员整理会议室卫生，检查会议器材是否完好，如幻灯、音响、灯具等，有问题及时上报项目物业办公室报修。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（8）每次使用会议室前由会议服务员提前一小时将会议室门窗打开通风，擦拭会议桌椅，按照会议要求摆放茶杯、纸巾、矿泉水、桌牌等会议用品，茶叶投放要适量，将饮水机打开，暖水瓶内打满水。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（五）综合维修工服务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1、人员配置：1人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2、主要负责日常维修、公共设施巡查、突发情况紧急处置。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3、综合维修服务标准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①每日对项目内公共部位巡视1次，项目内设施无安全隐患，巡视有记录。及时完成各项零星维修任务，维修合格率100%，一般维修任务不超过12小时。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②每月定期对大楼水电表运行情况运行检查。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建立水表、电表分布清单，标注位置。根据标注位置，每周进行巡查一次，在巡查过程中，关注水表接口、截门有无地漏，电表安装的漏电保护是否牢固等。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③冬季来临之前做好冬季防护工作。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④每天对公共区域配套设施，</w:t>
      </w:r>
      <w:r>
        <w:rPr>
          <w:rFonts w:hint="eastAsia" w:ascii="宋体" w:hAnsi="宋体"/>
          <w:sz w:val="24"/>
          <w:szCs w:val="24"/>
          <w:lang w:val="en-US" w:eastAsia="zh-CN"/>
        </w:rPr>
        <w:t>变电箱、</w:t>
      </w:r>
      <w:r>
        <w:rPr>
          <w:rFonts w:hint="eastAsia" w:ascii="宋体" w:hAnsi="宋体"/>
          <w:sz w:val="24"/>
          <w:szCs w:val="24"/>
        </w:rPr>
        <w:t>照明、中央空调系统等进行巡查，发现问题及时处理。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⑤对大楼内的各管道、闸阀、定期巡查，发现隐患及时处理。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⑥排水系统巡查。定期对各种排水管道进行清理，严防发生排水支、干管道堵塞事故的发生，确保排水管道畅通无污水、无外溢。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（六）司机驾驶服务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ascii="宋体" w:hAnsi="宋体"/>
          <w:sz w:val="24"/>
          <w:szCs w:val="24"/>
        </w:rPr>
        <w:t>1.</w:t>
      </w:r>
      <w:r>
        <w:rPr>
          <w:rFonts w:hint="eastAsia" w:ascii="宋体" w:hAnsi="宋体"/>
          <w:sz w:val="24"/>
          <w:szCs w:val="24"/>
        </w:rPr>
        <w:t>司机应严格遵守考勤制度，按照领导要求时间上下班，不得迟到或早退。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ascii="宋体" w:hAnsi="宋体"/>
          <w:sz w:val="24"/>
          <w:szCs w:val="24"/>
        </w:rPr>
        <w:t>2.</w:t>
      </w:r>
      <w:r>
        <w:rPr>
          <w:rFonts w:hint="eastAsia" w:ascii="宋体" w:hAnsi="宋体"/>
          <w:sz w:val="24"/>
          <w:szCs w:val="24"/>
        </w:rPr>
        <w:t>司机必须遵守保密制度，不得泄露、传播乘车者讲话内容，违者给予批评教育，严重者予以辞退。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司机应树立良好的驾驶作风，严格遵守交通法规，严禁酒后开车，不争先、不抢道、不开斗气车，坚持文明行车，凡因违章或酒后开车造成车辆损坏的，由司机承担</w:t>
      </w:r>
      <w:r>
        <w:rPr>
          <w:rFonts w:hint="eastAsia" w:ascii="宋体" w:hAnsi="宋体"/>
          <w:color w:val="auto"/>
          <w:sz w:val="24"/>
          <w:szCs w:val="24"/>
          <w:lang w:val="en-US" w:eastAsia="zh-CN"/>
        </w:rPr>
        <w:t>车险范围以外的</w:t>
      </w:r>
      <w:r>
        <w:rPr>
          <w:rFonts w:hint="eastAsia" w:ascii="宋体" w:hAnsi="宋体"/>
          <w:color w:val="auto"/>
          <w:sz w:val="24"/>
          <w:szCs w:val="24"/>
        </w:rPr>
        <w:t>维修费用</w:t>
      </w:r>
      <w:r>
        <w:rPr>
          <w:rFonts w:hint="eastAsia" w:ascii="宋体" w:hAnsi="宋体"/>
          <w:color w:val="auto"/>
          <w:sz w:val="24"/>
          <w:szCs w:val="24"/>
          <w:lang w:eastAsia="zh-CN"/>
        </w:rPr>
        <w:t>，</w:t>
      </w:r>
      <w:r>
        <w:rPr>
          <w:rFonts w:hint="eastAsia" w:ascii="宋体" w:hAnsi="宋体"/>
          <w:color w:val="auto"/>
          <w:sz w:val="24"/>
          <w:szCs w:val="24"/>
          <w:lang w:val="en-US" w:eastAsia="zh-CN"/>
        </w:rPr>
        <w:t>并接受处罚</w:t>
      </w:r>
      <w:r>
        <w:rPr>
          <w:rFonts w:hint="eastAsia" w:ascii="宋体" w:hAnsi="宋体"/>
          <w:color w:val="auto"/>
          <w:sz w:val="24"/>
          <w:szCs w:val="24"/>
        </w:rPr>
        <w:t>；如发生交通事故，除承担维修费外，还应承担相应的刑事责任。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ascii="宋体" w:hAnsi="宋体"/>
          <w:sz w:val="24"/>
          <w:szCs w:val="24"/>
        </w:rPr>
        <w:t>4.</w:t>
      </w:r>
      <w:r>
        <w:rPr>
          <w:rFonts w:hint="eastAsia" w:ascii="宋体" w:hAnsi="宋体"/>
          <w:sz w:val="24"/>
          <w:szCs w:val="24"/>
        </w:rPr>
        <w:t>司机要严格落实车辆定期保养、出车前检查制度，做到机油、刹车油、冷却水备齐，轮胎气压、喇叭、灯光完好，要确保车辆始终处于良好的技术状态，保证行车安全。同时，应建立完善的车辆保养、维修记录，确保维修时间、维修内容、行使里程等数据记录准确无误、有案可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司机要爱护车辆，不定期进行清洁，确保车辆外观整洁、车内物品摆放整齐。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cs="宋体"/>
          <w:color w:val="auto"/>
          <w:sz w:val="24"/>
          <w:szCs w:val="24"/>
        </w:rPr>
        <w:t>★</w:t>
      </w:r>
      <w:r>
        <w:rPr>
          <w:rFonts w:ascii="宋体" w:hAnsi="宋体"/>
          <w:color w:val="auto"/>
          <w:sz w:val="24"/>
          <w:szCs w:val="24"/>
        </w:rPr>
        <w:t>6.</w:t>
      </w:r>
      <w:r>
        <w:rPr>
          <w:rFonts w:hint="eastAsia" w:ascii="宋体" w:hAnsi="宋体"/>
          <w:color w:val="auto"/>
          <w:sz w:val="24"/>
          <w:szCs w:val="24"/>
          <w:lang w:val="en-US" w:eastAsia="zh-CN"/>
        </w:rPr>
        <w:t>投标人须承诺</w:t>
      </w:r>
      <w:r>
        <w:rPr>
          <w:rFonts w:hint="eastAsia" w:ascii="宋体" w:hAnsi="宋体"/>
          <w:color w:val="auto"/>
          <w:sz w:val="24"/>
          <w:szCs w:val="24"/>
        </w:rPr>
        <w:t>下班后</w:t>
      </w:r>
      <w:r>
        <w:rPr>
          <w:rFonts w:hint="eastAsia" w:ascii="宋体" w:hAnsi="宋体"/>
          <w:color w:val="auto"/>
          <w:sz w:val="24"/>
          <w:szCs w:val="24"/>
          <w:lang w:val="en-US" w:eastAsia="zh-CN"/>
        </w:rPr>
        <w:t>公务</w:t>
      </w:r>
      <w:r>
        <w:rPr>
          <w:rFonts w:hint="eastAsia" w:ascii="宋体" w:hAnsi="宋体"/>
          <w:color w:val="auto"/>
          <w:sz w:val="24"/>
          <w:szCs w:val="24"/>
        </w:rPr>
        <w:t>车辆不在外停放，如有特殊情况，需经</w:t>
      </w:r>
      <w:r>
        <w:rPr>
          <w:rFonts w:hint="eastAsia" w:ascii="宋体" w:hAnsi="宋体"/>
          <w:color w:val="auto"/>
          <w:sz w:val="24"/>
          <w:szCs w:val="24"/>
          <w:lang w:val="en-US" w:eastAsia="zh-CN"/>
        </w:rPr>
        <w:t>采购人</w:t>
      </w:r>
      <w:r>
        <w:rPr>
          <w:rFonts w:hint="eastAsia" w:ascii="宋体" w:hAnsi="宋体"/>
          <w:color w:val="auto"/>
          <w:sz w:val="24"/>
          <w:szCs w:val="24"/>
        </w:rPr>
        <w:t>同意后，方可在外停放，</w:t>
      </w:r>
      <w:r>
        <w:rPr>
          <w:rFonts w:hint="eastAsia" w:ascii="宋体" w:hAnsi="宋体"/>
          <w:sz w:val="24"/>
          <w:szCs w:val="24"/>
        </w:rPr>
        <w:t>但要确保车辆在外存放安全。违反规定者第一次给与批评教育，第二次起每次罚款</w:t>
      </w:r>
      <w:r>
        <w:rPr>
          <w:rFonts w:ascii="宋体" w:hAnsi="宋体"/>
          <w:sz w:val="24"/>
          <w:szCs w:val="24"/>
        </w:rPr>
        <w:t>100</w:t>
      </w:r>
      <w:r>
        <w:rPr>
          <w:rFonts w:hint="eastAsia" w:ascii="宋体" w:hAnsi="宋体"/>
          <w:sz w:val="24"/>
          <w:szCs w:val="24"/>
        </w:rPr>
        <w:t>元，因违反规定造成车辆损失，</w:t>
      </w:r>
      <w:r>
        <w:rPr>
          <w:rFonts w:hint="eastAsia" w:ascii="宋体" w:hAnsi="宋体"/>
          <w:sz w:val="24"/>
          <w:szCs w:val="24"/>
          <w:lang w:val="en-US" w:eastAsia="zh-CN"/>
        </w:rPr>
        <w:t>车险范围以外的</w:t>
      </w:r>
      <w:r>
        <w:rPr>
          <w:rFonts w:hint="eastAsia" w:ascii="宋体" w:hAnsi="宋体"/>
          <w:sz w:val="24"/>
          <w:szCs w:val="24"/>
        </w:rPr>
        <w:t>费用均由司机承担。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ascii="宋体" w:hAnsi="宋体"/>
          <w:sz w:val="24"/>
          <w:szCs w:val="24"/>
        </w:rPr>
        <w:t>7.</w:t>
      </w:r>
      <w:r>
        <w:rPr>
          <w:rFonts w:hint="eastAsia" w:ascii="宋体" w:hAnsi="宋体"/>
          <w:sz w:val="24"/>
          <w:szCs w:val="24"/>
        </w:rPr>
        <w:t>司机不得使用公车办私事，如违反规定导致发生交通事故或车辆损坏的情况，由司机负责承担维修费并赔偿有关事故的全部经济损失。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ascii="宋体" w:hAnsi="宋体"/>
          <w:sz w:val="24"/>
          <w:szCs w:val="24"/>
        </w:rPr>
        <w:t>8.</w:t>
      </w:r>
      <w:r>
        <w:rPr>
          <w:rFonts w:hint="eastAsia" w:ascii="宋体" w:hAnsi="宋体"/>
          <w:sz w:val="24"/>
          <w:szCs w:val="24"/>
        </w:rPr>
        <w:t>司机不准将中心车辆借给其他人员驾驶或学车，违者予以辞退。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rPr>
      </w:pPr>
      <w:r>
        <w:rPr>
          <w:rFonts w:hint="eastAsia"/>
          <w:b/>
          <w:bCs/>
          <w:sz w:val="24"/>
          <w:lang w:val="en-US" w:eastAsia="zh-CN"/>
        </w:rPr>
        <w:t>四</w:t>
      </w:r>
      <w:r>
        <w:rPr>
          <w:rFonts w:hint="eastAsia"/>
          <w:b/>
          <w:bCs/>
          <w:sz w:val="24"/>
        </w:rPr>
        <w:t>、应急服务要求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当出现不可预知紧急情况时（例如</w:t>
      </w:r>
      <w:r>
        <w:rPr>
          <w:rFonts w:hint="eastAsia"/>
          <w:sz w:val="24"/>
          <w:lang w:val="en-US" w:eastAsia="zh-CN"/>
        </w:rPr>
        <w:t>疫情防控、</w:t>
      </w:r>
      <w:r>
        <w:rPr>
          <w:rFonts w:hint="eastAsia"/>
          <w:sz w:val="24"/>
        </w:rPr>
        <w:t>停水停电、极端天气、群体事件、自然灾害等，可根据项目具体情况列举），保证物业服务正常运转的措施，包括但不限于临时增配人员、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rPr>
      </w:pPr>
      <w:r>
        <w:rPr>
          <w:rFonts w:hint="eastAsia"/>
          <w:b/>
          <w:bCs/>
          <w:sz w:val="24"/>
          <w:lang w:val="en-US" w:eastAsia="zh-CN"/>
        </w:rPr>
        <w:t>五</w:t>
      </w:r>
      <w:r>
        <w:rPr>
          <w:rFonts w:hint="eastAsia"/>
          <w:b/>
          <w:bCs/>
          <w:sz w:val="24"/>
        </w:rPr>
        <w:t>、人员保密要求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保证物业服务过程中有可能获取的保密信息不泄露的措施，包括但不限于制定保密制度、服务人员保密培训、重点岗位双人服务、泄密惩罚办法。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rPr>
      </w:pPr>
      <w:r>
        <w:rPr>
          <w:rFonts w:hint="eastAsia"/>
          <w:b/>
          <w:bCs/>
          <w:sz w:val="24"/>
          <w:lang w:val="en-US" w:eastAsia="zh-CN"/>
        </w:rPr>
        <w:t>六</w:t>
      </w:r>
      <w:r>
        <w:rPr>
          <w:rFonts w:hint="eastAsia"/>
          <w:b/>
          <w:bCs/>
          <w:sz w:val="24"/>
        </w:rPr>
        <w:t>、人员稳定性要求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在整个服务期内，人员更换率不得超过 5 %，更换人员不得低于采购需求，且应经采购人同意。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rPr>
      </w:pPr>
      <w:r>
        <w:rPr>
          <w:rFonts w:hint="eastAsia"/>
          <w:b/>
          <w:bCs/>
          <w:sz w:val="24"/>
          <w:lang w:val="en-US" w:eastAsia="zh-CN"/>
        </w:rPr>
        <w:t>七</w:t>
      </w:r>
      <w:r>
        <w:rPr>
          <w:rFonts w:hint="eastAsia"/>
          <w:b/>
          <w:bCs/>
          <w:sz w:val="24"/>
        </w:rPr>
        <w:t>、进驻和接管要求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sz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pPr>
        <w:spacing w:line="360" w:lineRule="auto"/>
        <w:ind w:firstLine="482" w:firstLineChars="200"/>
        <w:jc w:val="left"/>
        <w:rPr>
          <w:rFonts w:hint="eastAsia"/>
          <w:b/>
          <w:bCs/>
          <w:sz w:val="24"/>
        </w:rPr>
      </w:pPr>
      <w:r>
        <w:rPr>
          <w:rFonts w:hint="eastAsia"/>
          <w:b/>
          <w:bCs/>
          <w:sz w:val="24"/>
          <w:lang w:val="en-US" w:eastAsia="zh-CN"/>
        </w:rPr>
        <w:t>八</w:t>
      </w:r>
      <w:r>
        <w:rPr>
          <w:rFonts w:hint="eastAsia"/>
          <w:b/>
          <w:bCs/>
          <w:sz w:val="24"/>
        </w:rPr>
        <w:t>、费用分割</w:t>
      </w:r>
    </w:p>
    <w:p>
      <w:pPr>
        <w:spacing w:line="360" w:lineRule="auto"/>
        <w:ind w:firstLine="480" w:firstLineChars="200"/>
        <w:jc w:val="left"/>
        <w:rPr>
          <w:rFonts w:hint="eastAsia"/>
          <w:sz w:val="24"/>
        </w:rPr>
      </w:pPr>
      <w:r>
        <w:rPr>
          <w:rFonts w:hint="eastAsia"/>
          <w:sz w:val="24"/>
        </w:rPr>
        <w:t>1、物业服务人员的统一服装由成交供应商负责。</w:t>
      </w:r>
    </w:p>
    <w:p>
      <w:pPr>
        <w:spacing w:line="360" w:lineRule="auto"/>
        <w:ind w:firstLine="480" w:firstLineChars="200"/>
        <w:jc w:val="left"/>
        <w:rPr>
          <w:rFonts w:hint="eastAsia"/>
          <w:sz w:val="24"/>
        </w:rPr>
      </w:pPr>
      <w:r>
        <w:rPr>
          <w:rFonts w:hint="eastAsia"/>
          <w:sz w:val="24"/>
        </w:rPr>
        <w:t>2、保洁人员清洁工具及日常耗材由成交供应商负责；维修所需工具、零配件、耗材及卫生间内洗手液与卫生纸由采购人负责。</w:t>
      </w:r>
    </w:p>
    <w:p>
      <w:pPr>
        <w:spacing w:line="360" w:lineRule="auto"/>
        <w:ind w:firstLine="480" w:firstLineChars="200"/>
        <w:jc w:val="left"/>
        <w:rPr>
          <w:rFonts w:hint="eastAsia"/>
          <w:sz w:val="24"/>
        </w:rPr>
      </w:pPr>
      <w:r>
        <w:rPr>
          <w:rFonts w:hint="eastAsia"/>
          <w:sz w:val="24"/>
        </w:rPr>
        <w:t>3、安防等设备由第三方负责维修保养，费用由采购人单独支付，中标供应商做好日常监督维保单位工作。</w:t>
      </w:r>
    </w:p>
    <w:p>
      <w:pPr>
        <w:spacing w:line="360" w:lineRule="auto"/>
        <w:ind w:firstLine="480" w:firstLineChars="200"/>
        <w:jc w:val="left"/>
        <w:rPr>
          <w:rFonts w:hint="eastAsia"/>
          <w:sz w:val="24"/>
        </w:rPr>
      </w:pPr>
      <w:r>
        <w:rPr>
          <w:rFonts w:hint="eastAsia"/>
          <w:sz w:val="24"/>
        </w:rPr>
        <w:t>4、采购人为物业服务人员免费提供午餐，不提供物业服务人员免费住宿。</w:t>
      </w:r>
    </w:p>
    <w:p>
      <w:pPr>
        <w:spacing w:line="360" w:lineRule="auto"/>
        <w:ind w:firstLine="480" w:firstLineChars="200"/>
        <w:jc w:val="left"/>
        <w:rPr>
          <w:sz w:val="24"/>
        </w:rPr>
      </w:pPr>
      <w:r>
        <w:rPr>
          <w:rFonts w:hint="eastAsia"/>
          <w:sz w:val="24"/>
        </w:rPr>
        <w:t>5、由采购人提供办公用房、办公桌，办公面积约为10平米。</w:t>
      </w: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pStyle w:val="10"/>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pPr>
        <w:pStyle w:val="10"/>
        <w:rPr>
          <w:rFonts w:ascii="Times New Roman" w:hAnsi="Times New Roman"/>
        </w:rPr>
      </w:pPr>
      <w:r>
        <w:rPr>
          <w:rFonts w:ascii="Times New Roman" w:hAnsi="Times New Roman"/>
        </w:rPr>
        <w:t>第三部分  供应商须知</w:t>
      </w:r>
      <w:bookmarkEnd w:id="1"/>
    </w:p>
    <w:p>
      <w:pPr>
        <w:pStyle w:val="27"/>
        <w:spacing w:line="360" w:lineRule="auto"/>
        <w:jc w:val="center"/>
        <w:rPr>
          <w:rFonts w:ascii="Times New Roman" w:hAnsi="Times New Roman" w:eastAsia="宋体" w:cs="Times New Roman"/>
          <w:color w:val="auto"/>
        </w:rPr>
      </w:pPr>
      <w:bookmarkStart w:id="4" w:name="_Toc411426751"/>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pPr>
        <w:pStyle w:val="27"/>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5" w:name="OLE_LINK5"/>
      <w:bookmarkStart w:id="6" w:name="OLE_LINK6"/>
      <w:r>
        <w:rPr>
          <w:rFonts w:hint="eastAsia" w:ascii="Times New Roman" w:hAnsi="Times New Roman" w:eastAsia="宋体" w:cs="Times New Roman"/>
          <w:color w:val="auto"/>
        </w:rPr>
        <w:t>物业管理条例</w:t>
      </w:r>
      <w:bookmarkEnd w:id="5"/>
      <w:bookmarkEnd w:id="6"/>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上传加盖电子签章的第一、第二阶段电子响应文件（PDF格式）</w:t>
      </w:r>
      <w:r>
        <w:rPr>
          <w:rFonts w:hint="eastAsia" w:ascii="Times New Roman" w:hAnsi="Times New Roman" w:eastAsia="宋体" w:cs="Times New Roman"/>
          <w:color w:val="auto"/>
        </w:rPr>
        <w:t>（以通过电子签章客户端软件winaip正确读取签章信息为准）。加盖电子签章的电子响应文件应与网上应答填报内容一致。当出现网上应答报价与电子响应文件报价不一致时，以网上应答为准。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pPr>
        <w:pStyle w:val="27"/>
        <w:spacing w:line="360" w:lineRule="auto"/>
        <w:jc w:val="center"/>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投标人须于《磋商邀请函》规定的投标截止时间前提交网上应答并上传加盖电子签章的电子响应文件（以通过电子签章客户端软件winaip正确读取签章信息为准）。具体方式：</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使用天津市中环认证服务有限公司发出的CA数字证书（原天津市电子认证中心发出尚在有效期内的CA数字证书仍可使用）登录后按要求进行网上应答并分别上传加盖电子签章的第一、第二阶段电子响应文件（以通过电子签章客户端软件winaip正确读取签章信息为准）。如有需要，投标人可于工作时间且在竞争性磋商文件规定的截止时间前到天津市河东区红星路79号天津市政府采购中心窗口完成应答上传提交。</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投标人须下载天津市政府采购中心网-下载中心-《远程招投标电子签章客户端用户使用说明及安装程序》。</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PDF格式电子响应文件（以通过电子签章客户端软件winaip正确读取签章信息为准），并于投标截止时间前上传至天津市政府采购中心招投标系统。</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响应文件上传准确、有效。</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远程招投标电子签章客户端用户使用说明》的要求使用电子签章客户端软件winaip。不按本使用说明使用电子签章客户端软件winaip，或使用word等其它软件进行签章工作，将会造成电子签章客户端软件winaip无法读取签章信息，并导致投标无效。</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未按竞争性磋商文件的规定提交网上应答和上传加盖投标人电子签章的PDF格式电子响应文件（以通过电子签章客户端软件winaip正确读取签章信息为准）的投标将被拒绝。</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pPr>
        <w:pStyle w:val="27"/>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hint="eastAsia" w:ascii="Times New Roman" w:hAnsi="Times New Roman" w:eastAsia="宋体" w:cs="Times New Roman"/>
          <w:color w:val="auto"/>
        </w:rPr>
        <w:t>磋商步骤</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27.1 </w:t>
      </w:r>
      <w:r>
        <w:rPr>
          <w:rFonts w:hint="eastAsia" w:ascii="Times New Roman" w:hAnsi="Times New Roman" w:eastAsia="宋体"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7"/>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磋商小组要求供应商澄清、说明或者更正响应文件应当以书面形式做出。</w:t>
      </w:r>
    </w:p>
    <w:p>
      <w:pPr>
        <w:pStyle w:val="27"/>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27.2 </w:t>
      </w:r>
      <w:r>
        <w:rPr>
          <w:rFonts w:hint="eastAsia" w:ascii="Times New Roman" w:hAnsi="Times New Roman" w:eastAsia="宋体"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27"/>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供应商应当按照磋商文件的变动情况和磋商小组的要求重新提交响应文件，应为</w:t>
      </w:r>
      <w:r>
        <w:rPr>
          <w:rFonts w:ascii="Times New Roman" w:hAnsi="Times New Roman" w:eastAsia="宋体" w:cs="Times New Roman"/>
          <w:color w:val="auto"/>
          <w:kern w:val="2"/>
        </w:rPr>
        <w:t>PDF</w:t>
      </w:r>
      <w:r>
        <w:rPr>
          <w:rFonts w:hint="eastAsia" w:ascii="Times New Roman" w:hAnsi="Times New Roman" w:eastAsia="宋体" w:cs="Times New Roman"/>
          <w:color w:val="auto"/>
          <w:kern w:val="2"/>
        </w:rPr>
        <w:t>格式且加盖电子签章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27.3 </w:t>
      </w:r>
      <w:r>
        <w:rPr>
          <w:rFonts w:hint="eastAsia" w:ascii="Times New Roman" w:hAnsi="Times New Roman" w:eastAsia="宋体"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27.4 </w:t>
      </w:r>
      <w:r>
        <w:rPr>
          <w:rFonts w:hint="eastAsia" w:ascii="Times New Roman" w:hAnsi="Times New Roman" w:eastAsia="宋体" w:cs="Times New Roman"/>
          <w:color w:val="auto"/>
        </w:rPr>
        <w:t>第四步：经磋商确定最终采购需求和提交最后报价的供应商后，由磋商小组采用综合评分法对提交最后报价的供应商的响应文件和最后报价进行综合评分。</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27.5 </w:t>
      </w:r>
      <w:r>
        <w:rPr>
          <w:rFonts w:hint="eastAsia" w:ascii="Times New Roman" w:hAnsi="Times New Roman" w:eastAsia="宋体"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27.6 </w:t>
      </w:r>
      <w:r>
        <w:rPr>
          <w:rFonts w:hint="eastAsia" w:ascii="Times New Roman" w:hAnsi="Times New Roman" w:eastAsia="宋体" w:cs="Times New Roman"/>
          <w:color w:val="auto"/>
        </w:rPr>
        <w:t>出现下列情形之一的，采购人或者采购代理机构应当终止竞争性磋商采购活动，发布项目终止公告并说明原因，重新开展采购活动：</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）因情况变化，不再符合规定的竞争性磋商采购方式适用情形的；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）出现影响采购公正的违法、违规行为的；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hAnsi="Times New Roman" w:eastAsia="宋体" w:cs="Times New Roman"/>
          <w:color w:val="auto"/>
        </w:rPr>
        <w:t>3</w:t>
      </w:r>
      <w:r>
        <w:rPr>
          <w:rFonts w:hint="eastAsia" w:ascii="Times New Roman" w:hAnsi="Times New Roman" w:eastAsia="宋体" w:cs="Times New Roman"/>
          <w:color w:val="auto"/>
        </w:rPr>
        <w:t>家的。</w:t>
      </w:r>
    </w:p>
    <w:p>
      <w:pPr>
        <w:pStyle w:val="27"/>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27.7 </w:t>
      </w:r>
      <w:r>
        <w:rPr>
          <w:rFonts w:hint="eastAsia" w:ascii="Times New Roman" w:hAnsi="Times New Roman" w:eastAsia="宋体" w:cs="Times New Roman"/>
          <w:color w:val="auto"/>
        </w:rPr>
        <w:t>根据《财政部关于政府采购竞争性磋商采购方式管理暂行办法有关问题的补充通知》（财库〔</w:t>
      </w:r>
      <w:r>
        <w:rPr>
          <w:rFonts w:ascii="Times New Roman" w:hAnsi="Times New Roman" w:eastAsia="宋体" w:cs="Times New Roman"/>
          <w:color w:val="auto"/>
        </w:rPr>
        <w:t>2015</w:t>
      </w:r>
      <w:r>
        <w:rPr>
          <w:rFonts w:hint="eastAsia" w:ascii="Times New Roman" w:hAnsi="Times New Roman" w:eastAsia="宋体" w:cs="Times New Roman"/>
          <w:color w:val="auto"/>
        </w:rPr>
        <w:t>〕</w:t>
      </w:r>
      <w:r>
        <w:rPr>
          <w:rFonts w:ascii="Times New Roman" w:hAnsi="Times New Roman" w:eastAsia="宋体" w:cs="Times New Roman"/>
          <w:color w:val="auto"/>
        </w:rPr>
        <w:t>124</w:t>
      </w:r>
      <w:r>
        <w:rPr>
          <w:rFonts w:hint="eastAsia" w:ascii="Times New Roman" w:hAnsi="Times New Roman" w:eastAsia="宋体" w:cs="Times New Roman"/>
          <w:color w:val="auto"/>
        </w:rPr>
        <w:t>号）的规定，采用竞争性磋商采购方式采购的政府购买服务项目（含政府和社会资本合作项目），在采购过程中符合要求的供应商（社会资本）只有</w:t>
      </w:r>
      <w:r>
        <w:rPr>
          <w:rFonts w:ascii="Times New Roman" w:hAnsi="Times New Roman" w:eastAsia="宋体" w:cs="Times New Roman"/>
          <w:color w:val="auto"/>
        </w:rPr>
        <w:t>2</w:t>
      </w:r>
      <w:r>
        <w:rPr>
          <w:rFonts w:hint="eastAsia" w:ascii="Times New Roman" w:hAnsi="Times New Roman" w:eastAsia="宋体" w:cs="Times New Roman"/>
          <w:color w:val="auto"/>
        </w:rPr>
        <w:t>家的，竞争性磋商采购活动可以继续进行。采购过程中符合要求的供应商（社会资本）只有</w:t>
      </w:r>
      <w:r>
        <w:rPr>
          <w:rFonts w:ascii="Times New Roman" w:hAnsi="Times New Roman" w:eastAsia="宋体" w:cs="Times New Roman"/>
          <w:color w:val="auto"/>
        </w:rPr>
        <w:t>1</w:t>
      </w:r>
      <w:r>
        <w:rPr>
          <w:rFonts w:hint="eastAsia" w:ascii="Times New Roman" w:hAnsi="Times New Roman" w:eastAsia="宋体" w:cs="Times New Roman"/>
          <w:color w:val="auto"/>
        </w:rPr>
        <w:t>家的，采购人（项目实施机构）或者采购代理机构应当终止竞争性磋商采购活动，发布项目终止公告并说明原因，重新开展采购活动。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（8）单位负责人或法定代表人为同一人，或者存在控股、管理关系的不同供应商，参加同一包或者未划分包的同一项目的，相关响应均无效；</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pPr>
        <w:pStyle w:val="27"/>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pPr>
        <w:pStyle w:val="27"/>
        <w:spacing w:line="360" w:lineRule="auto"/>
        <w:ind w:firstLine="480" w:firstLineChars="200"/>
        <w:jc w:val="both"/>
        <w:rPr>
          <w:rFonts w:ascii="Times New Roman" w:hAnsi="Times New Roman" w:eastAsia="宋体" w:cs="Times New Roman"/>
          <w:color w:val="auto"/>
        </w:rPr>
      </w:pPr>
    </w:p>
    <w:p>
      <w:pPr>
        <w:pStyle w:val="27"/>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若《磋商项目需求》规定须提交履约保证金的，成交供应商须按照规定要求提交履约保证金。</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pPr>
        <w:pStyle w:val="27"/>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pPr>
        <w:pStyle w:val="27"/>
        <w:spacing w:line="360" w:lineRule="auto"/>
        <w:ind w:firstLine="480" w:firstLineChars="200"/>
        <w:jc w:val="both"/>
        <w:rPr>
          <w:rFonts w:ascii="Times New Roman" w:hAnsi="Times New Roman" w:eastAsia="宋体" w:cs="Times New Roman"/>
          <w:color w:val="auto"/>
        </w:rPr>
      </w:pPr>
    </w:p>
    <w:p>
      <w:pPr>
        <w:pStyle w:val="27"/>
        <w:snapToGrid w:val="0"/>
        <w:spacing w:line="360" w:lineRule="auto"/>
        <w:ind w:firstLine="480" w:firstLineChars="200"/>
        <w:jc w:val="both"/>
        <w:rPr>
          <w:rFonts w:ascii="Times New Roman" w:hAnsi="Times New Roman" w:eastAsia="宋体" w:cs="Times New Roman"/>
          <w:color w:val="auto"/>
        </w:rPr>
      </w:pPr>
    </w:p>
    <w:p>
      <w:pPr>
        <w:pStyle w:val="27"/>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pPr>
        <w:pStyle w:val="10"/>
        <w:rPr>
          <w:rFonts w:ascii="Times New Roman" w:hAnsi="Times New Roman"/>
        </w:rPr>
      </w:pPr>
      <w:r>
        <w:rPr>
          <w:rFonts w:ascii="Times New Roman" w:hAnsi="Times New Roman"/>
        </w:rPr>
        <w:t>第四部分  合同草案</w:t>
      </w:r>
      <w:bookmarkEnd w:id="4"/>
    </w:p>
    <w:p>
      <w:pPr>
        <w:tabs>
          <w:tab w:val="left" w:pos="412"/>
          <w:tab w:val="left" w:pos="618"/>
        </w:tabs>
        <w:spacing w:line="520" w:lineRule="exact"/>
        <w:jc w:val="center"/>
        <w:rPr>
          <w:b/>
          <w:bCs/>
          <w:sz w:val="24"/>
          <w:szCs w:val="24"/>
        </w:rPr>
      </w:pPr>
      <w:r>
        <w:rPr>
          <w:b/>
          <w:bCs/>
          <w:sz w:val="24"/>
          <w:szCs w:val="24"/>
        </w:rPr>
        <w:t>合同一般条款</w:t>
      </w:r>
    </w:p>
    <w:p>
      <w:pPr>
        <w:snapToGrid w:val="0"/>
        <w:spacing w:line="360" w:lineRule="auto"/>
        <w:ind w:firstLine="482" w:firstLineChars="200"/>
        <w:rPr>
          <w:b/>
          <w:bCs/>
          <w:sz w:val="24"/>
          <w:szCs w:val="24"/>
        </w:rPr>
      </w:pPr>
    </w:p>
    <w:p>
      <w:pPr>
        <w:snapToGrid w:val="0"/>
        <w:spacing w:line="360" w:lineRule="auto"/>
        <w:ind w:firstLine="482" w:firstLineChars="200"/>
        <w:rPr>
          <w:sz w:val="24"/>
          <w:szCs w:val="24"/>
        </w:rPr>
      </w:pPr>
      <w:r>
        <w:rPr>
          <w:b/>
          <w:bCs/>
          <w:sz w:val="24"/>
          <w:szCs w:val="24"/>
        </w:rPr>
        <w:t>采购人（甲方）：</w:t>
      </w:r>
    </w:p>
    <w:p>
      <w:pPr>
        <w:snapToGrid w:val="0"/>
        <w:spacing w:line="360" w:lineRule="auto"/>
        <w:ind w:firstLine="482" w:firstLineChars="200"/>
        <w:rPr>
          <w:sz w:val="24"/>
          <w:szCs w:val="24"/>
        </w:rPr>
      </w:pPr>
      <w:r>
        <w:rPr>
          <w:b/>
          <w:bCs/>
          <w:sz w:val="24"/>
          <w:szCs w:val="24"/>
        </w:rPr>
        <w:t>供应商（乙方）：</w:t>
      </w:r>
    </w:p>
    <w:p>
      <w:pPr>
        <w:spacing w:line="480" w:lineRule="exact"/>
        <w:ind w:firstLine="480" w:firstLineChars="200"/>
        <w:rPr>
          <w:sz w:val="24"/>
          <w:szCs w:val="24"/>
        </w:rPr>
      </w:pPr>
      <w:r>
        <w:rPr>
          <w:sz w:val="24"/>
          <w:szCs w:val="24"/>
        </w:rPr>
        <w:t>甲、乙双方根据项目（项目编号：TGPC-201-）的政府采购结果和磋商文件（或采购文件）的要求，并经双方协商一致，达成本合同：</w:t>
      </w:r>
    </w:p>
    <w:p>
      <w:pPr>
        <w:pStyle w:val="35"/>
        <w:numPr>
          <w:ilvl w:val="0"/>
          <w:numId w:val="1"/>
        </w:numPr>
        <w:spacing w:line="480" w:lineRule="exact"/>
        <w:ind w:firstLineChars="0"/>
        <w:rPr>
          <w:sz w:val="24"/>
        </w:rPr>
      </w:pPr>
      <w:r>
        <w:rPr>
          <w:rFonts w:hint="eastAsia"/>
          <w:sz w:val="24"/>
        </w:rPr>
        <w:t>本合同为中小企业预留合同</w:t>
      </w:r>
    </w:p>
    <w:p>
      <w:pPr>
        <w:pStyle w:val="35"/>
        <w:numPr>
          <w:ilvl w:val="0"/>
          <w:numId w:val="1"/>
        </w:numPr>
        <w:spacing w:line="480" w:lineRule="exact"/>
        <w:ind w:firstLineChars="0"/>
        <w:rPr>
          <w:sz w:val="24"/>
        </w:rPr>
      </w:pPr>
      <w:r>
        <w:rPr>
          <w:rFonts w:hint="eastAsia"/>
          <w:sz w:val="24"/>
        </w:rPr>
        <w:t>本合同非中小企业预留合同</w:t>
      </w:r>
    </w:p>
    <w:p>
      <w:pPr>
        <w:spacing w:line="480" w:lineRule="exact"/>
        <w:ind w:firstLine="480" w:firstLineChars="200"/>
        <w:rPr>
          <w:sz w:val="24"/>
          <w:szCs w:val="24"/>
        </w:rPr>
      </w:pPr>
      <w:r>
        <w:rPr>
          <w:sz w:val="24"/>
          <w:szCs w:val="24"/>
        </w:rPr>
        <w:t>第一条委托物业的基本情况</w:t>
      </w:r>
    </w:p>
    <w:p>
      <w:pPr>
        <w:spacing w:line="360" w:lineRule="auto"/>
        <w:ind w:firstLine="484" w:firstLineChars="202"/>
        <w:rPr>
          <w:sz w:val="24"/>
          <w:szCs w:val="24"/>
        </w:rPr>
      </w:pPr>
      <w:r>
        <w:rPr>
          <w:sz w:val="24"/>
          <w:szCs w:val="24"/>
        </w:rPr>
        <w:t>物业名称：</w:t>
      </w:r>
    </w:p>
    <w:p>
      <w:pPr>
        <w:spacing w:line="360" w:lineRule="auto"/>
        <w:ind w:firstLine="484" w:firstLineChars="202"/>
        <w:rPr>
          <w:sz w:val="24"/>
          <w:szCs w:val="24"/>
        </w:rPr>
      </w:pPr>
      <w:r>
        <w:rPr>
          <w:sz w:val="24"/>
          <w:szCs w:val="24"/>
        </w:rPr>
        <w:t>物业类型：</w:t>
      </w:r>
    </w:p>
    <w:p>
      <w:pPr>
        <w:spacing w:line="360" w:lineRule="auto"/>
        <w:ind w:firstLine="484" w:firstLineChars="202"/>
        <w:rPr>
          <w:sz w:val="24"/>
          <w:szCs w:val="24"/>
        </w:rPr>
      </w:pPr>
      <w:r>
        <w:rPr>
          <w:sz w:val="24"/>
          <w:szCs w:val="24"/>
        </w:rPr>
        <w:t>座落位置：</w:t>
      </w:r>
    </w:p>
    <w:p>
      <w:pPr>
        <w:spacing w:line="360" w:lineRule="auto"/>
        <w:ind w:firstLine="484" w:firstLineChars="202"/>
        <w:rPr>
          <w:sz w:val="24"/>
          <w:szCs w:val="24"/>
        </w:rPr>
      </w:pPr>
      <w:r>
        <w:rPr>
          <w:sz w:val="24"/>
          <w:szCs w:val="24"/>
        </w:rPr>
        <w:t>物业管理区域四至：</w:t>
      </w:r>
    </w:p>
    <w:p>
      <w:pPr>
        <w:spacing w:line="360" w:lineRule="auto"/>
        <w:ind w:firstLine="484" w:firstLineChars="202"/>
        <w:rPr>
          <w:sz w:val="24"/>
          <w:szCs w:val="24"/>
        </w:rPr>
      </w:pPr>
      <w:r>
        <w:rPr>
          <w:sz w:val="24"/>
          <w:szCs w:val="24"/>
        </w:rPr>
        <w:t>东至：南至：</w:t>
      </w:r>
    </w:p>
    <w:p>
      <w:pPr>
        <w:spacing w:line="360" w:lineRule="auto"/>
        <w:ind w:firstLine="484" w:firstLineChars="202"/>
        <w:rPr>
          <w:sz w:val="24"/>
          <w:szCs w:val="24"/>
        </w:rPr>
      </w:pPr>
      <w:r>
        <w:rPr>
          <w:sz w:val="24"/>
          <w:szCs w:val="24"/>
        </w:rPr>
        <w:t>西至：北至：</w:t>
      </w:r>
    </w:p>
    <w:p>
      <w:pPr>
        <w:spacing w:line="360" w:lineRule="auto"/>
        <w:ind w:firstLine="484" w:firstLineChars="202"/>
        <w:rPr>
          <w:sz w:val="24"/>
          <w:szCs w:val="24"/>
        </w:rPr>
      </w:pPr>
      <w:r>
        <w:rPr>
          <w:sz w:val="24"/>
          <w:szCs w:val="24"/>
        </w:rPr>
        <w:t>占地面积：大楼总建筑面积：</w:t>
      </w:r>
    </w:p>
    <w:p>
      <w:pPr>
        <w:spacing w:line="360" w:lineRule="auto"/>
        <w:ind w:firstLine="484" w:firstLineChars="202"/>
        <w:rPr>
          <w:sz w:val="24"/>
          <w:szCs w:val="24"/>
        </w:rPr>
      </w:pPr>
      <w:r>
        <w:rPr>
          <w:sz w:val="24"/>
          <w:szCs w:val="24"/>
        </w:rPr>
        <w:t>其中：地上面积：平方米</w:t>
      </w:r>
    </w:p>
    <w:p>
      <w:pPr>
        <w:spacing w:line="360" w:lineRule="auto"/>
        <w:ind w:firstLine="484" w:firstLineChars="202"/>
        <w:rPr>
          <w:sz w:val="24"/>
          <w:szCs w:val="24"/>
        </w:rPr>
      </w:pPr>
      <w:r>
        <w:rPr>
          <w:sz w:val="24"/>
          <w:szCs w:val="24"/>
        </w:rPr>
        <w:t>地下面积：平方米</w:t>
      </w:r>
    </w:p>
    <w:p>
      <w:pPr>
        <w:spacing w:line="360" w:lineRule="auto"/>
        <w:ind w:firstLine="484" w:firstLineChars="202"/>
        <w:rPr>
          <w:sz w:val="24"/>
          <w:szCs w:val="24"/>
        </w:rPr>
      </w:pPr>
      <w:r>
        <w:rPr>
          <w:sz w:val="24"/>
          <w:szCs w:val="24"/>
        </w:rPr>
        <w:t>标准层面积：平方米</w:t>
      </w:r>
    </w:p>
    <w:p>
      <w:pPr>
        <w:spacing w:line="360" w:lineRule="auto"/>
        <w:ind w:firstLine="484" w:firstLineChars="202"/>
        <w:rPr>
          <w:sz w:val="24"/>
          <w:szCs w:val="24"/>
        </w:rPr>
      </w:pPr>
      <w:r>
        <w:rPr>
          <w:sz w:val="24"/>
          <w:szCs w:val="24"/>
        </w:rPr>
        <w:t>人防建筑面积：平方米</w:t>
      </w:r>
    </w:p>
    <w:p>
      <w:pPr>
        <w:spacing w:line="360" w:lineRule="auto"/>
        <w:ind w:firstLine="484" w:firstLineChars="202"/>
        <w:rPr>
          <w:sz w:val="24"/>
          <w:szCs w:val="24"/>
        </w:rPr>
      </w:pPr>
      <w:r>
        <w:rPr>
          <w:sz w:val="24"/>
          <w:szCs w:val="24"/>
        </w:rPr>
        <w:t>建筑层数：地上层，地下层</w:t>
      </w:r>
    </w:p>
    <w:p>
      <w:pPr>
        <w:spacing w:line="360" w:lineRule="auto"/>
        <w:ind w:firstLine="484" w:firstLineChars="202"/>
        <w:rPr>
          <w:sz w:val="24"/>
          <w:szCs w:val="24"/>
        </w:rPr>
      </w:pPr>
      <w:r>
        <w:rPr>
          <w:sz w:val="24"/>
          <w:szCs w:val="24"/>
        </w:rPr>
        <w:t>建筑尺寸：长：米，宽：米，高：米</w:t>
      </w:r>
    </w:p>
    <w:p>
      <w:pPr>
        <w:spacing w:line="360" w:lineRule="auto"/>
        <w:ind w:firstLine="484" w:firstLineChars="202"/>
        <w:rPr>
          <w:sz w:val="24"/>
          <w:szCs w:val="24"/>
        </w:rPr>
      </w:pPr>
      <w:r>
        <w:rPr>
          <w:sz w:val="24"/>
          <w:szCs w:val="24"/>
        </w:rPr>
        <w:t>建筑层高：</w:t>
      </w:r>
    </w:p>
    <w:p>
      <w:pPr>
        <w:spacing w:line="360" w:lineRule="auto"/>
        <w:ind w:firstLine="484" w:firstLineChars="202"/>
        <w:rPr>
          <w:sz w:val="24"/>
          <w:szCs w:val="24"/>
        </w:rPr>
      </w:pPr>
      <w:r>
        <w:rPr>
          <w:sz w:val="24"/>
          <w:szCs w:val="24"/>
        </w:rPr>
        <w:t>建筑结构：</w:t>
      </w:r>
    </w:p>
    <w:p>
      <w:pPr>
        <w:spacing w:line="480" w:lineRule="exact"/>
        <w:ind w:firstLine="480" w:firstLineChars="200"/>
        <w:rPr>
          <w:sz w:val="24"/>
          <w:szCs w:val="24"/>
        </w:rPr>
      </w:pPr>
      <w:r>
        <w:rPr>
          <w:sz w:val="24"/>
          <w:szCs w:val="24"/>
        </w:rPr>
        <w:t>第二条物业服务内容及标准</w:t>
      </w:r>
    </w:p>
    <w:p>
      <w:pPr>
        <w:spacing w:line="480" w:lineRule="exact"/>
        <w:ind w:firstLine="480" w:firstLineChars="200"/>
        <w:rPr>
          <w:spacing w:val="-20"/>
          <w:sz w:val="24"/>
          <w:szCs w:val="24"/>
          <w:bdr w:val="single" w:color="auto" w:sz="4" w:space="0"/>
        </w:rPr>
      </w:pPr>
      <w:r>
        <w:rPr>
          <w:sz w:val="24"/>
          <w:szCs w:val="24"/>
        </w:rPr>
        <w:t>（一）房屋本体和共用部位的维修、养护和管理：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（二）共用设施设备运行、维修、养护：</w:t>
      </w:r>
    </w:p>
    <w:p>
      <w:pPr>
        <w:spacing w:line="480" w:lineRule="exact"/>
        <w:ind w:firstLine="480" w:firstLineChars="200"/>
        <w:rPr>
          <w:sz w:val="24"/>
          <w:szCs w:val="24"/>
        </w:rPr>
      </w:pPr>
      <w:r>
        <w:rPr>
          <w:sz w:val="24"/>
          <w:szCs w:val="24"/>
        </w:rPr>
        <w:t>1.供、配电设施设备: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2.给、排水设施设备: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3.升降系统: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4.消防系统: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5.空气调节系统: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6.智能化系统: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7.楼宇自动化系统（通讯系统等）:</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8.停车场管理系统: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9.其他: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（三）共用部位和共用场地的环境保洁和绿化养护：</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（四）物业装饰装修的管理：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（五）车辆行驶和停放秩序的服务、管理：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（六）物业管理区域内公共秩序的维护和消防管理：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（七）物业档案的建立、保管和使用：</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（八）其他委托事项：</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rPr>
      </w:pPr>
      <w:r>
        <w:rPr>
          <w:sz w:val="24"/>
          <w:szCs w:val="24"/>
        </w:rPr>
        <w:t>2、</w:t>
      </w:r>
    </w:p>
    <w:p>
      <w:pPr>
        <w:spacing w:line="480" w:lineRule="exact"/>
        <w:ind w:firstLine="480" w:firstLineChars="200"/>
        <w:rPr>
          <w:sz w:val="24"/>
          <w:szCs w:val="24"/>
          <w:u w:val="single"/>
        </w:rPr>
      </w:pPr>
      <w:r>
        <w:rPr>
          <w:sz w:val="24"/>
          <w:szCs w:val="24"/>
        </w:rPr>
        <w:t>3、</w:t>
      </w:r>
    </w:p>
    <w:p>
      <w:pPr>
        <w:spacing w:line="480" w:lineRule="exact"/>
        <w:ind w:firstLine="480" w:firstLineChars="200"/>
        <w:rPr>
          <w:sz w:val="24"/>
          <w:szCs w:val="24"/>
        </w:rPr>
      </w:pPr>
      <w:r>
        <w:rPr>
          <w:sz w:val="24"/>
          <w:szCs w:val="24"/>
        </w:rPr>
        <w:t>第三条物业服务合同期限</w:t>
      </w:r>
    </w:p>
    <w:p>
      <w:pPr>
        <w:spacing w:line="480" w:lineRule="exact"/>
        <w:ind w:firstLine="480" w:firstLineChars="200"/>
        <w:rPr>
          <w:color w:val="FF0000"/>
          <w:sz w:val="24"/>
          <w:szCs w:val="24"/>
        </w:rPr>
      </w:pPr>
      <w:r>
        <w:rPr>
          <w:sz w:val="24"/>
          <w:szCs w:val="24"/>
        </w:rPr>
        <w:t>物业服务合同期限为年。</w:t>
      </w:r>
    </w:p>
    <w:p>
      <w:pPr>
        <w:spacing w:line="480" w:lineRule="exact"/>
        <w:ind w:firstLine="480" w:firstLineChars="200"/>
        <w:rPr>
          <w:sz w:val="24"/>
          <w:szCs w:val="24"/>
        </w:rPr>
      </w:pPr>
      <w:r>
        <w:rPr>
          <w:sz w:val="24"/>
          <w:szCs w:val="24"/>
        </w:rPr>
        <w:t>自    年   月    日起至     年   月     日终止。</w:t>
      </w:r>
    </w:p>
    <w:p>
      <w:pPr>
        <w:spacing w:line="480" w:lineRule="exact"/>
        <w:ind w:firstLine="480" w:firstLineChars="200"/>
        <w:rPr>
          <w:sz w:val="24"/>
          <w:szCs w:val="24"/>
        </w:rPr>
      </w:pPr>
      <w:r>
        <w:rPr>
          <w:sz w:val="24"/>
          <w:szCs w:val="24"/>
        </w:rPr>
        <w:t>第四条甲方权利义务</w:t>
      </w:r>
    </w:p>
    <w:p>
      <w:pPr>
        <w:spacing w:line="480" w:lineRule="exact"/>
        <w:ind w:firstLine="480" w:firstLineChars="200"/>
        <w:rPr>
          <w:sz w:val="24"/>
          <w:szCs w:val="24"/>
        </w:rPr>
      </w:pPr>
      <w:r>
        <w:rPr>
          <w:sz w:val="24"/>
          <w:szCs w:val="24"/>
        </w:rPr>
        <w:t>（一）代表和维护采购人所有人员在物业管理服务活动中的合法权益；</w:t>
      </w:r>
    </w:p>
    <w:p>
      <w:pPr>
        <w:spacing w:line="480" w:lineRule="exact"/>
        <w:ind w:firstLine="480" w:firstLineChars="200"/>
        <w:rPr>
          <w:sz w:val="24"/>
          <w:szCs w:val="24"/>
        </w:rPr>
      </w:pPr>
      <w:r>
        <w:rPr>
          <w:sz w:val="24"/>
          <w:szCs w:val="24"/>
        </w:rPr>
        <w:t>（二）制定、修改管理规约，监督采购人所有人员遵守管理规约；</w:t>
      </w:r>
    </w:p>
    <w:p>
      <w:pPr>
        <w:spacing w:line="480" w:lineRule="exact"/>
        <w:ind w:firstLine="480" w:firstLineChars="200"/>
        <w:rPr>
          <w:sz w:val="24"/>
          <w:szCs w:val="24"/>
        </w:rPr>
      </w:pPr>
      <w:r>
        <w:rPr>
          <w:sz w:val="24"/>
          <w:szCs w:val="24"/>
        </w:rPr>
        <w:t>（三）审定物业服务合同内容，选聘、解聘物业服务企业；</w:t>
      </w:r>
    </w:p>
    <w:p>
      <w:pPr>
        <w:spacing w:line="480" w:lineRule="exact"/>
        <w:ind w:firstLine="480" w:firstLineChars="200"/>
        <w:rPr>
          <w:sz w:val="24"/>
          <w:szCs w:val="24"/>
        </w:rPr>
      </w:pPr>
      <w:r>
        <w:rPr>
          <w:sz w:val="24"/>
          <w:szCs w:val="24"/>
        </w:rPr>
        <w:t>（四）审定乙方提出的物业管理服务年度计划及管理制度，监督并配合乙方管理服务工作的实施及制度的执行；</w:t>
      </w:r>
    </w:p>
    <w:p>
      <w:pPr>
        <w:spacing w:line="480" w:lineRule="exact"/>
        <w:ind w:firstLine="480"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80" w:firstLineChars="200"/>
        <w:rPr>
          <w:sz w:val="24"/>
          <w:szCs w:val="24"/>
        </w:rPr>
      </w:pPr>
      <w:r>
        <w:rPr>
          <w:sz w:val="24"/>
          <w:szCs w:val="24"/>
        </w:rPr>
        <w:t>（六）负责提供物业管理服务所需相关文件和资料；</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u w:val="single"/>
        </w:rPr>
      </w:pPr>
      <w:r>
        <w:rPr>
          <w:sz w:val="24"/>
          <w:szCs w:val="24"/>
        </w:rPr>
        <w:t>2、</w:t>
      </w:r>
    </w:p>
    <w:p>
      <w:pPr>
        <w:spacing w:line="480" w:lineRule="exact"/>
        <w:ind w:firstLine="480" w:firstLineChars="200"/>
        <w:rPr>
          <w:sz w:val="24"/>
          <w:szCs w:val="24"/>
          <w:bdr w:val="single" w:color="auto" w:sz="4" w:space="0"/>
        </w:rPr>
      </w:pPr>
      <w:r>
        <w:rPr>
          <w:sz w:val="24"/>
          <w:szCs w:val="24"/>
        </w:rPr>
        <w:t>3、</w:t>
      </w:r>
    </w:p>
    <w:p>
      <w:pPr>
        <w:spacing w:line="480" w:lineRule="exact"/>
        <w:ind w:firstLine="480" w:firstLineChars="200"/>
        <w:rPr>
          <w:sz w:val="24"/>
          <w:szCs w:val="24"/>
        </w:rPr>
      </w:pPr>
      <w:r>
        <w:rPr>
          <w:sz w:val="24"/>
          <w:szCs w:val="24"/>
        </w:rPr>
        <w:t>第五条乙方权利义务</w:t>
      </w:r>
    </w:p>
    <w:p>
      <w:pPr>
        <w:spacing w:line="480" w:lineRule="exact"/>
        <w:ind w:firstLine="480"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pPr>
        <w:spacing w:line="480" w:lineRule="exact"/>
        <w:ind w:firstLine="480" w:firstLineChars="200"/>
        <w:rPr>
          <w:sz w:val="24"/>
          <w:szCs w:val="24"/>
        </w:rPr>
      </w:pPr>
      <w:r>
        <w:rPr>
          <w:sz w:val="24"/>
          <w:szCs w:val="24"/>
        </w:rPr>
        <w:t>（二）在本物业管理区域内的显著位置，将服务内容、服务标准和收费项目、收费标准等有关情况进行公示；</w:t>
      </w:r>
    </w:p>
    <w:p>
      <w:pPr>
        <w:spacing w:line="480" w:lineRule="exact"/>
        <w:ind w:firstLine="480" w:firstLineChars="200"/>
        <w:rPr>
          <w:sz w:val="24"/>
          <w:szCs w:val="24"/>
        </w:rPr>
      </w:pPr>
      <w:r>
        <w:rPr>
          <w:sz w:val="24"/>
          <w:szCs w:val="24"/>
        </w:rPr>
        <w:t>（三）依照本合同约定向采购人收取物业管理服务费；</w:t>
      </w:r>
    </w:p>
    <w:p>
      <w:pPr>
        <w:spacing w:line="480" w:lineRule="exact"/>
        <w:ind w:firstLine="480" w:firstLineChars="200"/>
        <w:rPr>
          <w:sz w:val="24"/>
          <w:szCs w:val="24"/>
        </w:rPr>
      </w:pPr>
      <w:r>
        <w:rPr>
          <w:sz w:val="24"/>
          <w:szCs w:val="24"/>
        </w:rPr>
        <w:t>（四）建立物业项目的管理档案；</w:t>
      </w:r>
    </w:p>
    <w:p>
      <w:pPr>
        <w:spacing w:line="480" w:lineRule="exact"/>
        <w:ind w:firstLine="480" w:firstLineChars="200"/>
        <w:rPr>
          <w:sz w:val="24"/>
          <w:szCs w:val="24"/>
        </w:rPr>
      </w:pPr>
      <w:r>
        <w:rPr>
          <w:sz w:val="24"/>
          <w:szCs w:val="24"/>
        </w:rPr>
        <w:t>（五）对采购人违反国家和本市有关物业管理方面的法律、法规和规章及管理规约的行为，进行劝阻、制止，并向甲方和有关部门报告；</w:t>
      </w:r>
    </w:p>
    <w:p>
      <w:pPr>
        <w:spacing w:line="480" w:lineRule="exact"/>
        <w:ind w:firstLine="480" w:firstLineChars="200"/>
        <w:rPr>
          <w:sz w:val="24"/>
          <w:szCs w:val="24"/>
        </w:rPr>
      </w:pPr>
      <w:r>
        <w:rPr>
          <w:sz w:val="24"/>
          <w:szCs w:val="24"/>
        </w:rPr>
        <w:t>（六）对侵害物业共用部位、共用设施设备的行为要求责任人停止侵害、排除妨害、恢复原状；</w:t>
      </w:r>
    </w:p>
    <w:p>
      <w:pPr>
        <w:spacing w:line="480" w:lineRule="exact"/>
        <w:ind w:firstLine="480" w:firstLineChars="200"/>
        <w:rPr>
          <w:sz w:val="24"/>
          <w:szCs w:val="24"/>
        </w:rPr>
      </w:pPr>
      <w:r>
        <w:rPr>
          <w:sz w:val="24"/>
          <w:szCs w:val="24"/>
        </w:rPr>
        <w:t>（七）不得将物业项目全部委托给他人管理，但可以将专项服务委托专业公司承担；</w:t>
      </w:r>
    </w:p>
    <w:p>
      <w:pPr>
        <w:spacing w:line="480" w:lineRule="exact"/>
        <w:ind w:firstLine="480" w:firstLineChars="200"/>
        <w:rPr>
          <w:sz w:val="24"/>
          <w:szCs w:val="24"/>
        </w:rPr>
      </w:pPr>
      <w:r>
        <w:rPr>
          <w:sz w:val="24"/>
          <w:szCs w:val="24"/>
        </w:rPr>
        <w:t>（八）负责编制物业的年度维修养护计划，并组织实施；</w:t>
      </w:r>
    </w:p>
    <w:p>
      <w:pPr>
        <w:spacing w:line="480" w:lineRule="exact"/>
        <w:ind w:firstLine="480"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80" w:firstLineChars="200"/>
        <w:rPr>
          <w:sz w:val="24"/>
          <w:szCs w:val="24"/>
        </w:rPr>
      </w:pPr>
      <w:r>
        <w:rPr>
          <w:sz w:val="24"/>
          <w:szCs w:val="24"/>
        </w:rPr>
        <w:t>（十）负责编制物业服务年度计划；</w:t>
      </w:r>
    </w:p>
    <w:p>
      <w:pPr>
        <w:spacing w:line="480" w:lineRule="exact"/>
        <w:ind w:firstLine="480"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80"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pPr>
        <w:spacing w:line="480" w:lineRule="exact"/>
        <w:ind w:firstLine="480" w:firstLineChars="200"/>
        <w:rPr>
          <w:sz w:val="24"/>
          <w:szCs w:val="24"/>
        </w:rPr>
      </w:pPr>
      <w:r>
        <w:rPr>
          <w:sz w:val="24"/>
          <w:szCs w:val="24"/>
        </w:rPr>
        <w:t>1、预收的物业管理服务费等收益余额；</w:t>
      </w:r>
    </w:p>
    <w:p>
      <w:pPr>
        <w:spacing w:line="480" w:lineRule="exact"/>
        <w:ind w:firstLine="480" w:firstLineChars="200"/>
        <w:rPr>
          <w:sz w:val="24"/>
          <w:szCs w:val="24"/>
        </w:rPr>
      </w:pPr>
      <w:r>
        <w:rPr>
          <w:sz w:val="24"/>
          <w:szCs w:val="24"/>
        </w:rPr>
        <w:t>2、物业管理项目的档案资料；</w:t>
      </w:r>
    </w:p>
    <w:p>
      <w:pPr>
        <w:spacing w:line="480" w:lineRule="exact"/>
        <w:ind w:firstLine="480" w:firstLineChars="200"/>
        <w:rPr>
          <w:sz w:val="24"/>
          <w:szCs w:val="24"/>
        </w:rPr>
      </w:pPr>
      <w:r>
        <w:rPr>
          <w:sz w:val="24"/>
          <w:szCs w:val="24"/>
        </w:rPr>
        <w:t>3、物业管理用房和属于采购人的场地、设施设备。</w:t>
      </w:r>
    </w:p>
    <w:p>
      <w:pPr>
        <w:spacing w:line="480" w:lineRule="exact"/>
        <w:ind w:firstLine="480"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80" w:firstLineChars="200"/>
        <w:rPr>
          <w:sz w:val="24"/>
          <w:szCs w:val="24"/>
        </w:rPr>
      </w:pPr>
      <w:r>
        <w:rPr>
          <w:sz w:val="24"/>
          <w:szCs w:val="24"/>
        </w:rPr>
        <w:t>（十四）接受采购人的监督；</w:t>
      </w:r>
    </w:p>
    <w:p>
      <w:pPr>
        <w:spacing w:line="480" w:lineRule="exact"/>
        <w:ind w:firstLine="480" w:firstLineChars="200"/>
        <w:rPr>
          <w:sz w:val="24"/>
          <w:szCs w:val="24"/>
        </w:rPr>
      </w:pPr>
      <w:r>
        <w:rPr>
          <w:sz w:val="24"/>
          <w:szCs w:val="24"/>
        </w:rPr>
        <w:t>（十五）接受物业管理行政主管部门的监督指导；</w:t>
      </w:r>
    </w:p>
    <w:p>
      <w:pPr>
        <w:spacing w:line="480" w:lineRule="exact"/>
        <w:ind w:firstLine="480" w:firstLineChars="200"/>
        <w:rPr>
          <w:sz w:val="24"/>
          <w:szCs w:val="24"/>
        </w:rPr>
      </w:pPr>
      <w:r>
        <w:rPr>
          <w:sz w:val="24"/>
          <w:szCs w:val="24"/>
        </w:rPr>
        <w:t>（十六）其他：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第六条物业管理服务费用</w:t>
      </w:r>
    </w:p>
    <w:p>
      <w:pPr>
        <w:spacing w:line="480" w:lineRule="exact"/>
        <w:ind w:firstLine="480" w:firstLineChars="200"/>
        <w:rPr>
          <w:sz w:val="24"/>
          <w:szCs w:val="24"/>
        </w:rPr>
      </w:pPr>
      <w:r>
        <w:rPr>
          <w:sz w:val="24"/>
          <w:szCs w:val="24"/>
        </w:rPr>
        <w:t>本物业管理区域内的物业管理服务费采取包干制的形式，年服务费用为大写：（小写：）。</w:t>
      </w:r>
    </w:p>
    <w:p>
      <w:pPr>
        <w:spacing w:line="480" w:lineRule="exact"/>
        <w:ind w:firstLine="480" w:firstLineChars="200"/>
        <w:rPr>
          <w:sz w:val="24"/>
          <w:szCs w:val="24"/>
        </w:rPr>
      </w:pPr>
      <w:r>
        <w:rPr>
          <w:sz w:val="24"/>
          <w:szCs w:val="24"/>
        </w:rPr>
        <w:t>乙方按照上述标准收取物业服务费用，并按本合同约定的服务内容和质量标准提供服务，盈余或亏损由乙方享有或承担。</w:t>
      </w:r>
    </w:p>
    <w:p>
      <w:pPr>
        <w:spacing w:line="480" w:lineRule="exact"/>
        <w:ind w:firstLine="480" w:firstLineChars="200"/>
        <w:rPr>
          <w:spacing w:val="-20"/>
          <w:sz w:val="24"/>
          <w:szCs w:val="24"/>
          <w:u w:val="single"/>
        </w:rPr>
      </w:pPr>
      <w:r>
        <w:rPr>
          <w:sz w:val="24"/>
          <w:szCs w:val="24"/>
        </w:rPr>
        <w:t>付款方式如下：</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第七条物业管理用房</w:t>
      </w:r>
    </w:p>
    <w:p>
      <w:pPr>
        <w:spacing w:line="480" w:lineRule="exact"/>
        <w:ind w:firstLine="480"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80" w:firstLineChars="200"/>
        <w:rPr>
          <w:sz w:val="24"/>
          <w:szCs w:val="24"/>
        </w:rPr>
      </w:pPr>
      <w:r>
        <w:rPr>
          <w:sz w:val="24"/>
          <w:szCs w:val="24"/>
        </w:rPr>
        <w:t>第八条物业及物业管理交接</w:t>
      </w:r>
    </w:p>
    <w:p>
      <w:pPr>
        <w:spacing w:line="480" w:lineRule="exact"/>
        <w:ind w:firstLine="480" w:firstLineChars="200"/>
        <w:rPr>
          <w:sz w:val="24"/>
          <w:szCs w:val="24"/>
        </w:rPr>
      </w:pPr>
      <w:r>
        <w:rPr>
          <w:sz w:val="24"/>
          <w:szCs w:val="24"/>
        </w:rPr>
        <w:t>自本合同生效之日起，由甲方向乙方移交下列资金、物品和资料：</w:t>
      </w:r>
    </w:p>
    <w:p>
      <w:pPr>
        <w:spacing w:line="480" w:lineRule="exact"/>
        <w:ind w:firstLine="480" w:firstLineChars="200"/>
        <w:rPr>
          <w:sz w:val="24"/>
          <w:szCs w:val="24"/>
        </w:rPr>
      </w:pPr>
      <w:r>
        <w:rPr>
          <w:sz w:val="24"/>
          <w:szCs w:val="24"/>
        </w:rPr>
        <w:t>（一）竣工总平面图，单体建筑、结构、设备的竣工图，附属配套设施、地下管网工程竣工图等资料；</w:t>
      </w:r>
    </w:p>
    <w:p>
      <w:pPr>
        <w:spacing w:line="480" w:lineRule="exact"/>
        <w:ind w:firstLine="480" w:firstLineChars="200"/>
        <w:rPr>
          <w:sz w:val="24"/>
          <w:szCs w:val="24"/>
        </w:rPr>
      </w:pPr>
      <w:r>
        <w:rPr>
          <w:sz w:val="24"/>
          <w:szCs w:val="24"/>
        </w:rPr>
        <w:t>（二）物业竣工验收资料；</w:t>
      </w:r>
    </w:p>
    <w:p>
      <w:pPr>
        <w:spacing w:line="480" w:lineRule="exact"/>
        <w:ind w:firstLine="480" w:firstLineChars="200"/>
        <w:rPr>
          <w:sz w:val="24"/>
          <w:szCs w:val="24"/>
        </w:rPr>
      </w:pPr>
      <w:r>
        <w:rPr>
          <w:sz w:val="24"/>
          <w:szCs w:val="24"/>
        </w:rPr>
        <w:t>（三）共用设施设备安装、使用、维护和保养技术资料；</w:t>
      </w:r>
    </w:p>
    <w:p>
      <w:pPr>
        <w:spacing w:line="480" w:lineRule="exact"/>
        <w:ind w:firstLine="480" w:firstLineChars="200"/>
        <w:rPr>
          <w:sz w:val="24"/>
          <w:szCs w:val="24"/>
        </w:rPr>
      </w:pPr>
      <w:r>
        <w:rPr>
          <w:sz w:val="24"/>
          <w:szCs w:val="24"/>
        </w:rPr>
        <w:t>（四）物业质量保证书和使用说明书；</w:t>
      </w:r>
    </w:p>
    <w:p>
      <w:pPr>
        <w:spacing w:line="480" w:lineRule="exact"/>
        <w:ind w:firstLine="480" w:firstLineChars="200"/>
        <w:rPr>
          <w:sz w:val="24"/>
          <w:szCs w:val="24"/>
        </w:rPr>
      </w:pPr>
      <w:r>
        <w:rPr>
          <w:sz w:val="24"/>
          <w:szCs w:val="24"/>
        </w:rPr>
        <w:t>（五）物业管理服务费等余额；</w:t>
      </w:r>
    </w:p>
    <w:p>
      <w:pPr>
        <w:spacing w:line="480" w:lineRule="exact"/>
        <w:ind w:firstLine="480" w:firstLineChars="200"/>
        <w:rPr>
          <w:sz w:val="24"/>
          <w:szCs w:val="24"/>
        </w:rPr>
      </w:pPr>
      <w:r>
        <w:rPr>
          <w:sz w:val="24"/>
          <w:szCs w:val="24"/>
        </w:rPr>
        <w:t>（六）物业管理需要的其他资料；</w:t>
      </w:r>
    </w:p>
    <w:p>
      <w:pPr>
        <w:spacing w:line="480" w:lineRule="exact"/>
        <w:ind w:firstLine="480" w:firstLineChars="200"/>
        <w:rPr>
          <w:sz w:val="24"/>
          <w:szCs w:val="24"/>
        </w:rPr>
      </w:pPr>
      <w:r>
        <w:rPr>
          <w:sz w:val="24"/>
          <w:szCs w:val="24"/>
        </w:rPr>
        <w:t>（七）物业管理用房和属于采购人的场地、设施设备。</w:t>
      </w:r>
    </w:p>
    <w:p>
      <w:pPr>
        <w:spacing w:line="480" w:lineRule="exact"/>
        <w:ind w:firstLine="480" w:firstLineChars="200"/>
        <w:rPr>
          <w:sz w:val="24"/>
          <w:szCs w:val="24"/>
        </w:rPr>
      </w:pPr>
      <w:r>
        <w:rPr>
          <w:sz w:val="24"/>
          <w:szCs w:val="24"/>
        </w:rPr>
        <w:t>第九条采购人装饰装修房屋，应当遵守国家和本市有关规定。</w:t>
      </w:r>
    </w:p>
    <w:p>
      <w:pPr>
        <w:spacing w:line="480" w:lineRule="exact"/>
        <w:ind w:firstLine="480"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80" w:firstLineChars="200"/>
        <w:rPr>
          <w:sz w:val="24"/>
          <w:szCs w:val="24"/>
        </w:rPr>
      </w:pPr>
      <w:r>
        <w:rPr>
          <w:sz w:val="24"/>
          <w:szCs w:val="24"/>
        </w:rPr>
        <w:t>第十条违约责任</w:t>
      </w:r>
    </w:p>
    <w:p>
      <w:pPr>
        <w:spacing w:line="480" w:lineRule="exact"/>
        <w:ind w:firstLine="480"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80"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80" w:firstLineChars="200"/>
        <w:rPr>
          <w:sz w:val="24"/>
          <w:szCs w:val="24"/>
        </w:rPr>
      </w:pPr>
      <w:r>
        <w:rPr>
          <w:sz w:val="24"/>
          <w:szCs w:val="24"/>
        </w:rPr>
        <w:t>（三）乙方违反本合同第六条约定，擅自提高收费标准的，甲方有权要求乙方清退；造成甲方经济损失的，乙方应当给予甲方经济赔偿。</w:t>
      </w:r>
    </w:p>
    <w:p>
      <w:pPr>
        <w:spacing w:line="480" w:lineRule="exact"/>
        <w:ind w:firstLine="480" w:firstLineChars="200"/>
        <w:rPr>
          <w:sz w:val="24"/>
          <w:szCs w:val="24"/>
        </w:rPr>
      </w:pPr>
      <w:r>
        <w:rPr>
          <w:sz w:val="24"/>
          <w:szCs w:val="24"/>
        </w:rPr>
        <w:t>（四）合同期满，乙方未按规定时间向甲方办理移交事项，乙方向甲方支付违约金元。</w:t>
      </w:r>
    </w:p>
    <w:p>
      <w:pPr>
        <w:spacing w:line="480" w:lineRule="exact"/>
        <w:ind w:firstLine="480" w:firstLineChars="200"/>
        <w:rPr>
          <w:sz w:val="24"/>
          <w:szCs w:val="24"/>
        </w:rPr>
      </w:pPr>
      <w:r>
        <w:rPr>
          <w:sz w:val="24"/>
          <w:szCs w:val="24"/>
        </w:rPr>
        <w:t>（五）若采购人部分人员拒绝、阻碍乙方对物业共用部位、共用设施设备进行维修、养护，造成损失的，甲方应当承担赔偿责任。</w:t>
      </w:r>
    </w:p>
    <w:p>
      <w:pPr>
        <w:spacing w:line="480" w:lineRule="exact"/>
        <w:ind w:firstLine="480" w:firstLineChars="200"/>
        <w:rPr>
          <w:sz w:val="24"/>
          <w:szCs w:val="24"/>
        </w:rPr>
      </w:pPr>
      <w:r>
        <w:rPr>
          <w:sz w:val="24"/>
          <w:szCs w:val="24"/>
        </w:rPr>
        <w:t>（六）甲、乙任何一方无正当理由提前终止合同的，应当向对方支付    元的违约金；违约方还应当承担超过违约金部分的经济损失。</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p>
    <w:p>
      <w:pPr>
        <w:spacing w:line="480" w:lineRule="exact"/>
        <w:ind w:firstLine="480" w:firstLineChars="200"/>
        <w:rPr>
          <w:sz w:val="24"/>
          <w:szCs w:val="24"/>
        </w:rPr>
      </w:pPr>
      <w:r>
        <w:rPr>
          <w:sz w:val="24"/>
          <w:szCs w:val="24"/>
        </w:rPr>
        <w:t>第十一条质量纠纷的约定</w:t>
      </w:r>
    </w:p>
    <w:p>
      <w:pPr>
        <w:spacing w:line="480" w:lineRule="exact"/>
        <w:ind w:firstLine="480"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80" w:firstLineChars="200"/>
        <w:rPr>
          <w:sz w:val="24"/>
          <w:szCs w:val="24"/>
        </w:rPr>
      </w:pPr>
      <w:r>
        <w:rPr>
          <w:sz w:val="24"/>
          <w:szCs w:val="24"/>
        </w:rPr>
        <w:t>第十二条不可抗力的约定</w:t>
      </w:r>
    </w:p>
    <w:p>
      <w:pPr>
        <w:spacing w:line="480" w:lineRule="exact"/>
        <w:ind w:firstLine="480" w:firstLineChars="200"/>
        <w:rPr>
          <w:sz w:val="24"/>
          <w:szCs w:val="24"/>
        </w:rPr>
      </w:pPr>
      <w:r>
        <w:rPr>
          <w:sz w:val="24"/>
          <w:szCs w:val="24"/>
        </w:rPr>
        <w:t>本合同执行期间，如遇不可抗力，致使合同无法履行时，双方应当按有关法律规定及时协商处理。</w:t>
      </w:r>
    </w:p>
    <w:p>
      <w:pPr>
        <w:spacing w:line="480" w:lineRule="exact"/>
        <w:ind w:firstLine="480" w:firstLineChars="200"/>
        <w:rPr>
          <w:sz w:val="24"/>
          <w:szCs w:val="24"/>
        </w:rPr>
      </w:pPr>
      <w:r>
        <w:rPr>
          <w:sz w:val="24"/>
          <w:szCs w:val="24"/>
        </w:rPr>
        <w:t>第十三条免责条款</w:t>
      </w:r>
    </w:p>
    <w:p>
      <w:pPr>
        <w:spacing w:line="480" w:lineRule="exact"/>
        <w:ind w:firstLine="480" w:firstLineChars="200"/>
        <w:rPr>
          <w:sz w:val="24"/>
          <w:szCs w:val="24"/>
        </w:rPr>
      </w:pPr>
      <w:r>
        <w:rPr>
          <w:sz w:val="24"/>
          <w:szCs w:val="24"/>
        </w:rPr>
        <w:t>以下情况乙方不承担责任：</w:t>
      </w:r>
    </w:p>
    <w:p>
      <w:pPr>
        <w:spacing w:line="480" w:lineRule="exact"/>
        <w:ind w:firstLine="480" w:firstLineChars="200"/>
        <w:rPr>
          <w:sz w:val="24"/>
          <w:szCs w:val="24"/>
        </w:rPr>
      </w:pPr>
      <w:r>
        <w:rPr>
          <w:sz w:val="24"/>
          <w:szCs w:val="24"/>
        </w:rPr>
        <w:t>1、乙方已履行本合同约定义务，但因物业本身固有瑕疵造成损失的；</w:t>
      </w:r>
    </w:p>
    <w:p>
      <w:pPr>
        <w:spacing w:line="480" w:lineRule="exact"/>
        <w:ind w:firstLine="480" w:firstLineChars="200"/>
        <w:rPr>
          <w:sz w:val="24"/>
          <w:szCs w:val="24"/>
        </w:rPr>
      </w:pPr>
      <w:r>
        <w:rPr>
          <w:sz w:val="24"/>
          <w:szCs w:val="24"/>
        </w:rPr>
        <w:t>2、因维修养护物业共用部位、共用设施设备需要且事先已告知采购人，暂时停水、停电、停止共用设施设备使用等造成损失的；</w:t>
      </w:r>
    </w:p>
    <w:p>
      <w:pPr>
        <w:spacing w:line="480" w:lineRule="exact"/>
        <w:ind w:firstLine="480" w:firstLineChars="200"/>
        <w:rPr>
          <w:sz w:val="24"/>
          <w:szCs w:val="24"/>
        </w:rPr>
      </w:pPr>
      <w:r>
        <w:rPr>
          <w:sz w:val="24"/>
          <w:szCs w:val="24"/>
        </w:rPr>
        <w:t>3、因非乙方责任出现供水、供电、供气、供热、通讯、有线电视及其他共用设施设备运行障碍造成损失的。</w:t>
      </w:r>
    </w:p>
    <w:p>
      <w:pPr>
        <w:spacing w:line="480" w:lineRule="exact"/>
        <w:ind w:firstLine="480" w:firstLineChars="200"/>
        <w:rPr>
          <w:sz w:val="24"/>
          <w:szCs w:val="24"/>
        </w:rPr>
      </w:pPr>
      <w:r>
        <w:rPr>
          <w:sz w:val="24"/>
          <w:szCs w:val="24"/>
        </w:rPr>
        <w:t>第十四条合同的解除</w:t>
      </w:r>
    </w:p>
    <w:p>
      <w:pPr>
        <w:spacing w:line="480" w:lineRule="exact"/>
        <w:ind w:firstLine="480"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80" w:firstLineChars="200"/>
        <w:rPr>
          <w:sz w:val="24"/>
          <w:szCs w:val="24"/>
        </w:rPr>
      </w:pPr>
      <w:r>
        <w:rPr>
          <w:sz w:val="24"/>
          <w:szCs w:val="24"/>
        </w:rPr>
        <w:t>合同解除后，按照有关规定办理相关交接手续。</w:t>
      </w:r>
    </w:p>
    <w:p>
      <w:pPr>
        <w:spacing w:line="480" w:lineRule="exact"/>
        <w:ind w:firstLine="480" w:firstLineChars="200"/>
        <w:rPr>
          <w:sz w:val="24"/>
          <w:szCs w:val="24"/>
        </w:rPr>
      </w:pPr>
      <w:r>
        <w:rPr>
          <w:sz w:val="24"/>
          <w:szCs w:val="24"/>
        </w:rPr>
        <w:t>第十五条争议处理</w:t>
      </w:r>
    </w:p>
    <w:p>
      <w:pPr>
        <w:spacing w:line="480" w:lineRule="exact"/>
        <w:ind w:firstLine="480" w:firstLineChars="200"/>
        <w:rPr>
          <w:sz w:val="24"/>
          <w:szCs w:val="24"/>
        </w:rPr>
      </w:pPr>
      <w:r>
        <w:rPr>
          <w:sz w:val="24"/>
          <w:szCs w:val="24"/>
        </w:rPr>
        <w:t>由于甲、乙双方在履行本合同过程中出现问题，由甲、乙双方直接交涉解决，包括采用诉诸法律的手段。</w:t>
      </w:r>
    </w:p>
    <w:p>
      <w:pPr>
        <w:spacing w:line="480" w:lineRule="exact"/>
        <w:ind w:firstLine="480" w:firstLineChars="200"/>
        <w:rPr>
          <w:sz w:val="24"/>
          <w:szCs w:val="24"/>
        </w:rPr>
      </w:pPr>
      <w:r>
        <w:rPr>
          <w:color w:val="000000"/>
          <w:sz w:val="24"/>
          <w:szCs w:val="24"/>
        </w:rPr>
        <w:t>本合同未作明示约定，而又有相关法律、法规规定的，从其规定。本合同发生争议产生的诉讼，由合同履行所在地人民法院管辖。</w:t>
      </w:r>
    </w:p>
    <w:p>
      <w:pPr>
        <w:spacing w:line="480" w:lineRule="exact"/>
        <w:ind w:firstLine="480" w:firstLineChars="200"/>
        <w:rPr>
          <w:sz w:val="24"/>
          <w:szCs w:val="24"/>
        </w:rPr>
      </w:pPr>
      <w:r>
        <w:rPr>
          <w:sz w:val="24"/>
          <w:szCs w:val="24"/>
        </w:rPr>
        <w:t>第十六条合同附件</w:t>
      </w:r>
    </w:p>
    <w:p>
      <w:pPr>
        <w:spacing w:line="480" w:lineRule="exact"/>
        <w:ind w:firstLine="480"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pPr>
        <w:spacing w:line="480" w:lineRule="exact"/>
        <w:ind w:firstLine="480" w:firstLineChars="200"/>
        <w:rPr>
          <w:sz w:val="24"/>
          <w:szCs w:val="24"/>
        </w:rPr>
      </w:pPr>
      <w:r>
        <w:rPr>
          <w:sz w:val="24"/>
          <w:szCs w:val="24"/>
        </w:rPr>
        <w:t>本合同及其附件和合同特殊条款中未规定的事宜，均遵照国家和本市有关法律、法规和规章执行。</w:t>
      </w:r>
    </w:p>
    <w:p>
      <w:pPr>
        <w:spacing w:line="480" w:lineRule="exact"/>
        <w:ind w:firstLine="480" w:firstLineChars="200"/>
        <w:rPr>
          <w:sz w:val="24"/>
          <w:szCs w:val="24"/>
        </w:rPr>
      </w:pPr>
      <w:r>
        <w:rPr>
          <w:sz w:val="24"/>
          <w:szCs w:val="24"/>
        </w:rPr>
        <w:t>第十七条合同生效</w:t>
      </w:r>
    </w:p>
    <w:p>
      <w:pPr>
        <w:spacing w:line="480" w:lineRule="exact"/>
        <w:ind w:firstLine="480" w:firstLineChars="200"/>
        <w:rPr>
          <w:sz w:val="24"/>
          <w:szCs w:val="24"/>
        </w:rPr>
      </w:pPr>
      <w:r>
        <w:rPr>
          <w:sz w:val="24"/>
          <w:szCs w:val="24"/>
        </w:rPr>
        <w:t>本合同一式  份，甲方持  份，乙方持  份，均具同等效力，签字盖章后生效。</w:t>
      </w:r>
    </w:p>
    <w:p>
      <w:pPr>
        <w:spacing w:line="480" w:lineRule="exact"/>
        <w:ind w:firstLine="480" w:firstLineChars="200"/>
        <w:rPr>
          <w:sz w:val="24"/>
          <w:szCs w:val="24"/>
        </w:rPr>
      </w:pPr>
    </w:p>
    <w:p>
      <w:pPr>
        <w:tabs>
          <w:tab w:val="left" w:pos="360"/>
        </w:tabs>
        <w:spacing w:line="516" w:lineRule="exact"/>
        <w:ind w:firstLine="480" w:firstLineChars="200"/>
        <w:rPr>
          <w:color w:val="000000"/>
          <w:sz w:val="24"/>
          <w:szCs w:val="24"/>
        </w:rPr>
      </w:pPr>
      <w:r>
        <w:rPr>
          <w:sz w:val="24"/>
          <w:szCs w:val="24"/>
        </w:rPr>
        <w:t>采购人-甲方（公章）</w:t>
      </w:r>
      <w:r>
        <w:rPr>
          <w:color w:val="000000"/>
          <w:sz w:val="24"/>
          <w:szCs w:val="24"/>
        </w:rPr>
        <w:t xml:space="preserve">：         </w:t>
      </w:r>
      <w:r>
        <w:rPr>
          <w:sz w:val="24"/>
          <w:szCs w:val="24"/>
        </w:rPr>
        <w:t>供应商-乙方（公章）</w:t>
      </w:r>
      <w:r>
        <w:rPr>
          <w:color w:val="000000"/>
          <w:sz w:val="24"/>
          <w:szCs w:val="24"/>
        </w:rPr>
        <w:t>：</w:t>
      </w:r>
    </w:p>
    <w:p>
      <w:pPr>
        <w:tabs>
          <w:tab w:val="left" w:pos="0"/>
          <w:tab w:val="left" w:pos="315"/>
        </w:tabs>
        <w:spacing w:line="516" w:lineRule="exact"/>
        <w:ind w:firstLine="480" w:firstLineChars="200"/>
        <w:rPr>
          <w:color w:val="000000"/>
          <w:sz w:val="24"/>
          <w:szCs w:val="24"/>
        </w:rPr>
      </w:pPr>
      <w:r>
        <w:rPr>
          <w:color w:val="000000"/>
          <w:sz w:val="24"/>
          <w:szCs w:val="24"/>
        </w:rPr>
        <w:t>地址：                       地址：</w:t>
      </w:r>
    </w:p>
    <w:p>
      <w:pPr>
        <w:tabs>
          <w:tab w:val="left" w:pos="0"/>
          <w:tab w:val="left" w:pos="315"/>
        </w:tabs>
        <w:spacing w:line="516" w:lineRule="exact"/>
        <w:ind w:firstLine="480" w:firstLineChars="200"/>
        <w:rPr>
          <w:color w:val="000000"/>
          <w:sz w:val="24"/>
          <w:szCs w:val="24"/>
        </w:rPr>
      </w:pPr>
      <w:r>
        <w:rPr>
          <w:color w:val="000000"/>
          <w:sz w:val="24"/>
          <w:szCs w:val="24"/>
        </w:rPr>
        <w:t>法定代表人：                 法定代表人：</w:t>
      </w:r>
    </w:p>
    <w:p>
      <w:pPr>
        <w:tabs>
          <w:tab w:val="left" w:pos="360"/>
        </w:tabs>
        <w:spacing w:line="516" w:lineRule="exact"/>
        <w:ind w:firstLine="480" w:firstLineChars="200"/>
        <w:rPr>
          <w:color w:val="000000"/>
          <w:sz w:val="24"/>
          <w:szCs w:val="24"/>
        </w:rPr>
      </w:pPr>
      <w:r>
        <w:rPr>
          <w:color w:val="000000"/>
          <w:sz w:val="24"/>
          <w:szCs w:val="24"/>
        </w:rPr>
        <w:t>委托代理人：                 委托代理人：</w:t>
      </w:r>
    </w:p>
    <w:p>
      <w:pPr>
        <w:tabs>
          <w:tab w:val="left" w:pos="360"/>
        </w:tabs>
        <w:spacing w:line="516" w:lineRule="exact"/>
        <w:ind w:firstLine="480" w:firstLineChars="200"/>
        <w:rPr>
          <w:color w:val="000000"/>
          <w:sz w:val="24"/>
          <w:szCs w:val="24"/>
        </w:rPr>
      </w:pPr>
      <w:r>
        <w:rPr>
          <w:color w:val="000000"/>
          <w:sz w:val="24"/>
          <w:szCs w:val="24"/>
        </w:rPr>
        <w:t>电话：                       电话：</w:t>
      </w:r>
    </w:p>
    <w:p>
      <w:pPr>
        <w:tabs>
          <w:tab w:val="left" w:pos="360"/>
        </w:tabs>
        <w:spacing w:line="516" w:lineRule="exact"/>
        <w:ind w:firstLine="480" w:firstLineChars="200"/>
        <w:rPr>
          <w:color w:val="000000"/>
          <w:sz w:val="24"/>
          <w:szCs w:val="24"/>
        </w:rPr>
      </w:pPr>
      <w:r>
        <w:rPr>
          <w:color w:val="000000"/>
          <w:sz w:val="24"/>
          <w:szCs w:val="24"/>
        </w:rPr>
        <w:t>时间：年月日</w:t>
      </w:r>
    </w:p>
    <w:p>
      <w:pPr>
        <w:spacing w:line="480" w:lineRule="exact"/>
        <w:ind w:firstLine="480" w:firstLineChars="200"/>
        <w:rPr>
          <w:sz w:val="24"/>
          <w:szCs w:val="24"/>
        </w:rPr>
      </w:pPr>
    </w:p>
    <w:p>
      <w:pPr>
        <w:spacing w:line="480" w:lineRule="exact"/>
        <w:ind w:firstLine="480" w:firstLineChars="200"/>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jc w:val="center"/>
        <w:rPr>
          <w:sz w:val="24"/>
          <w:szCs w:val="24"/>
        </w:rPr>
      </w:pPr>
    </w:p>
    <w:p>
      <w:pPr>
        <w:jc w:val="center"/>
        <w:rPr>
          <w:sz w:val="24"/>
          <w:szCs w:val="24"/>
        </w:rPr>
      </w:pPr>
    </w:p>
    <w:p>
      <w:pPr>
        <w:jc w:val="center"/>
        <w:rPr>
          <w:b/>
          <w:bCs/>
          <w:sz w:val="24"/>
          <w:szCs w:val="24"/>
        </w:rPr>
      </w:pPr>
      <w:r>
        <w:rPr>
          <w:b/>
          <w:bCs/>
          <w:sz w:val="24"/>
          <w:szCs w:val="24"/>
        </w:rPr>
        <w:t>合同特殊条款</w:t>
      </w:r>
    </w:p>
    <w:p>
      <w:pPr>
        <w:tabs>
          <w:tab w:val="left" w:pos="360"/>
        </w:tabs>
        <w:spacing w:line="520" w:lineRule="exact"/>
        <w:ind w:firstLine="410" w:firstLineChars="171"/>
        <w:rPr>
          <w:color w:val="000000"/>
          <w:sz w:val="24"/>
          <w:szCs w:val="24"/>
        </w:rPr>
      </w:pPr>
    </w:p>
    <w:p>
      <w:pPr>
        <w:tabs>
          <w:tab w:val="left" w:pos="360"/>
        </w:tabs>
        <w:spacing w:line="520" w:lineRule="exact"/>
        <w:ind w:firstLine="410" w:firstLineChars="171"/>
        <w:rPr>
          <w:color w:val="000000"/>
          <w:sz w:val="24"/>
          <w:szCs w:val="24"/>
        </w:rPr>
      </w:pPr>
      <w:r>
        <w:rPr>
          <w:color w:val="000000"/>
          <w:sz w:val="24"/>
          <w:szCs w:val="24"/>
        </w:rPr>
        <w:t>合同特殊条款是合同一般条款的补充和修改。如果两者之间有抵触，应以特殊条款为准。</w:t>
      </w:r>
    </w:p>
    <w:p>
      <w:pPr>
        <w:tabs>
          <w:tab w:val="left" w:pos="360"/>
        </w:tabs>
        <w:spacing w:line="520" w:lineRule="exact"/>
        <w:ind w:firstLine="410" w:firstLineChars="171"/>
        <w:rPr>
          <w:color w:val="000000"/>
          <w:sz w:val="24"/>
          <w:szCs w:val="24"/>
        </w:rPr>
      </w:pPr>
      <w:r>
        <w:rPr>
          <w:color w:val="000000"/>
          <w:sz w:val="24"/>
          <w:szCs w:val="24"/>
        </w:rPr>
        <w:t>合同特殊条款由甲、乙双方根据采购项目的具体情况协商拟订。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pPr>
        <w:pStyle w:val="2"/>
        <w:jc w:val="center"/>
      </w:pPr>
      <w:bookmarkStart w:id="7" w:name="_Toc411426753"/>
      <w:r>
        <w:t>第五部分  响应文件格式</w:t>
      </w:r>
      <w:bookmarkEnd w:id="7"/>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rFonts w:hint="eastAsia"/>
          <w:b/>
          <w:bCs/>
          <w:sz w:val="24"/>
        </w:rPr>
        <w:t>（投标人自行编制）</w:t>
      </w:r>
    </w:p>
    <w:p>
      <w:pPr>
        <w:widowControl/>
        <w:spacing w:line="360" w:lineRule="auto"/>
        <w:jc w:val="center"/>
        <w:rPr>
          <w:b/>
          <w:sz w:val="24"/>
        </w:rPr>
      </w:pPr>
      <w:r>
        <w:rPr>
          <w:b/>
          <w:sz w:val="24"/>
        </w:rPr>
        <w:br w:type="page"/>
      </w:r>
      <w:r>
        <w:rPr>
          <w:rFonts w:hint="eastAsia"/>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pPr>
        <w:spacing w:line="460" w:lineRule="exact"/>
        <w:jc w:val="lef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pPr>
        <w:autoSpaceDE w:val="0"/>
        <w:autoSpaceDN w:val="0"/>
        <w:adjustRightInd w:val="0"/>
        <w:spacing w:line="360" w:lineRule="auto"/>
        <w:ind w:firstLine="480"/>
        <w:jc w:val="left"/>
        <w:rPr>
          <w:kern w:val="0"/>
          <w:sz w:val="24"/>
        </w:rPr>
      </w:pPr>
      <w:r>
        <w:rPr>
          <w:kern w:val="0"/>
          <w:sz w:val="24"/>
        </w:rPr>
        <w:t>据此函，签字代表宣布同意如下：</w:t>
      </w:r>
    </w:p>
    <w:p>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将按磋商文件的规定履行合同责任和义务。</w:t>
      </w:r>
    </w:p>
    <w:p>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pPr>
        <w:spacing w:line="360" w:lineRule="auto"/>
        <w:ind w:firstLine="480" w:firstLineChars="200"/>
        <w:rPr>
          <w:sz w:val="24"/>
        </w:rPr>
      </w:pPr>
      <w:r>
        <w:rPr>
          <w:rFonts w:hint="eastAsia"/>
          <w:sz w:val="24"/>
        </w:rPr>
        <w:t>3</w:t>
      </w:r>
      <w:r>
        <w:rPr>
          <w:sz w:val="24"/>
        </w:rPr>
        <w:t>.</w:t>
      </w:r>
      <w:r>
        <w:rPr>
          <w:rFonts w:hint="eastAsia"/>
          <w:sz w:val="24"/>
        </w:rPr>
        <w:t xml:space="preserve"> 我公司的磋商有效期为响应文件开启之日起60天。</w:t>
      </w:r>
    </w:p>
    <w:p>
      <w:pPr>
        <w:spacing w:line="360" w:lineRule="auto"/>
        <w:ind w:firstLine="480" w:firstLineChars="200"/>
        <w:rPr>
          <w:sz w:val="24"/>
        </w:rPr>
      </w:pPr>
      <w:r>
        <w:rPr>
          <w:rFonts w:hint="eastAsia"/>
          <w:sz w:val="24"/>
        </w:rPr>
        <w:t>4</w:t>
      </w:r>
      <w:r>
        <w:rPr>
          <w:sz w:val="24"/>
        </w:rPr>
        <w:t>.</w:t>
      </w:r>
      <w:r>
        <w:rPr>
          <w:rFonts w:hint="eastAsia"/>
          <w:sz w:val="24"/>
        </w:rPr>
        <w:t xml:space="preserve"> 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sz w:val="24"/>
        </w:rPr>
      </w:pPr>
      <w:r>
        <w:rPr>
          <w:rFonts w:hint="eastAsia"/>
          <w:sz w:val="24"/>
        </w:rPr>
        <w:t>7. 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pPr>
        <w:spacing w:line="360" w:lineRule="auto"/>
        <w:ind w:firstLine="480" w:firstLineChars="200"/>
        <w:rPr>
          <w:sz w:val="24"/>
        </w:rPr>
      </w:pPr>
      <w:r>
        <w:rPr>
          <w:rFonts w:hint="eastAsia"/>
          <w:sz w:val="24"/>
        </w:rPr>
        <w:t>10. 如违反上述承诺，我公司投标无效且接受相关部门依法作出的处罚，并承担通过“天津市政府采购网”等相关媒体予以公布的任何风险和责任。</w:t>
      </w:r>
    </w:p>
    <w:p>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80" w:firstLineChars="200"/>
        <w:rPr>
          <w:sz w:val="24"/>
        </w:rPr>
      </w:pPr>
      <w:r>
        <w:rPr>
          <w:rFonts w:hint="eastAsia"/>
          <w:sz w:val="24"/>
        </w:rPr>
        <w:t>纳税人识别号：</w:t>
      </w:r>
    </w:p>
    <w:p>
      <w:pPr>
        <w:spacing w:line="360" w:lineRule="auto"/>
        <w:ind w:firstLine="480" w:firstLineChars="200"/>
        <w:rPr>
          <w:sz w:val="24"/>
        </w:rPr>
      </w:pPr>
      <w:r>
        <w:rPr>
          <w:rFonts w:hint="eastAsia"/>
          <w:sz w:val="24"/>
        </w:rPr>
        <w:t>地址、电话：</w:t>
      </w:r>
    </w:p>
    <w:p>
      <w:pPr>
        <w:spacing w:line="360" w:lineRule="auto"/>
        <w:ind w:firstLine="480" w:firstLineChars="200"/>
        <w:rPr>
          <w:sz w:val="24"/>
        </w:rPr>
      </w:pPr>
      <w:r>
        <w:rPr>
          <w:rFonts w:hint="eastAsia"/>
          <w:sz w:val="24"/>
        </w:rPr>
        <w:t>开户行及账号：</w:t>
      </w:r>
    </w:p>
    <w:p>
      <w:pPr>
        <w:spacing w:line="360" w:lineRule="auto"/>
        <w:ind w:firstLine="480" w:firstLineChars="200"/>
        <w:rPr>
          <w:sz w:val="24"/>
        </w:rPr>
      </w:pPr>
      <w:r>
        <w:rPr>
          <w:rFonts w:hint="eastAsia"/>
          <w:sz w:val="24"/>
        </w:rPr>
        <w:t>开具发票类型：□增值税专用发票         □增值税普通发票</w:t>
      </w:r>
    </w:p>
    <w:p>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82" w:firstLineChars="200"/>
        <w:rPr>
          <w:b/>
          <w:sz w:val="24"/>
        </w:rPr>
      </w:pPr>
      <w:r>
        <w:rPr>
          <w:rFonts w:hint="eastAsia"/>
          <w:b/>
          <w:sz w:val="24"/>
        </w:rPr>
        <w:t>□</w:t>
      </w:r>
      <w:r>
        <w:rPr>
          <w:b/>
          <w:sz w:val="24"/>
        </w:rPr>
        <w:t>上门自取</w:t>
      </w:r>
    </w:p>
    <w:p>
      <w:pPr>
        <w:spacing w:line="360" w:lineRule="auto"/>
        <w:ind w:firstLine="480" w:firstLineChars="200"/>
        <w:rPr>
          <w:sz w:val="24"/>
        </w:rPr>
      </w:pPr>
    </w:p>
    <w:p>
      <w:pPr>
        <w:spacing w:line="360" w:lineRule="auto"/>
        <w:ind w:firstLine="482" w:firstLineChars="200"/>
        <w:rPr>
          <w:b/>
          <w:sz w:val="24"/>
        </w:rPr>
      </w:pPr>
      <w:r>
        <w:rPr>
          <w:rFonts w:hint="eastAsia"/>
          <w:b/>
          <w:sz w:val="24"/>
        </w:rPr>
        <w:t>□</w:t>
      </w:r>
      <w:r>
        <w:rPr>
          <w:b/>
          <w:sz w:val="24"/>
        </w:rPr>
        <w:t>到付邮寄</w:t>
      </w:r>
    </w:p>
    <w:p>
      <w:pPr>
        <w:spacing w:line="360" w:lineRule="auto"/>
        <w:ind w:firstLine="480" w:firstLineChars="200"/>
        <w:rPr>
          <w:sz w:val="24"/>
        </w:rPr>
      </w:pPr>
      <w:r>
        <w:rPr>
          <w:sz w:val="24"/>
        </w:rPr>
        <w:t>邮寄地址</w:t>
      </w:r>
      <w:r>
        <w:rPr>
          <w:rFonts w:hint="eastAsia"/>
          <w:sz w:val="24"/>
        </w:rPr>
        <w:t>、邮编</w:t>
      </w:r>
      <w:r>
        <w:rPr>
          <w:sz w:val="24"/>
        </w:rPr>
        <w:t>：</w:t>
      </w:r>
    </w:p>
    <w:p>
      <w:pPr>
        <w:spacing w:line="360" w:lineRule="auto"/>
        <w:ind w:firstLine="480" w:firstLineChars="200"/>
        <w:rPr>
          <w:sz w:val="24"/>
        </w:rPr>
      </w:pPr>
      <w:r>
        <w:rPr>
          <w:sz w:val="24"/>
        </w:rPr>
        <w:t>邮寄联系人、手机号码：</w:t>
      </w:r>
    </w:p>
    <w:p>
      <w:pPr>
        <w:spacing w:line="360" w:lineRule="auto"/>
        <w:ind w:firstLine="4080" w:firstLineChars="1700"/>
        <w:rPr>
          <w:sz w:val="24"/>
        </w:rPr>
      </w:pPr>
    </w:p>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jc w:val="left"/>
        <w:rPr>
          <w:b/>
          <w:sz w:val="24"/>
        </w:rPr>
      </w:pPr>
      <w:r>
        <w:rPr>
          <w:b/>
          <w:sz w:val="24"/>
        </w:rPr>
        <w:br w:type="page"/>
      </w:r>
      <w:r>
        <w:rPr>
          <w:b/>
          <w:sz w:val="24"/>
        </w:rPr>
        <w:t>附件2</w:t>
      </w:r>
    </w:p>
    <w:p>
      <w:pPr>
        <w:tabs>
          <w:tab w:val="left" w:pos="360"/>
        </w:tabs>
        <w:spacing w:line="560" w:lineRule="exact"/>
        <w:jc w:val="center"/>
        <w:rPr>
          <w:b/>
          <w:sz w:val="24"/>
        </w:rPr>
      </w:pPr>
      <w:r>
        <w:rPr>
          <w:rFonts w:hint="eastAsia"/>
          <w:b/>
          <w:sz w:val="24"/>
        </w:rPr>
        <w:t>供应商资格要求证明文件</w:t>
      </w: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r>
        <w:rPr>
          <w:sz w:val="24"/>
        </w:rPr>
        <w:t>注：相关证明材料应附在此页后面。</w:t>
      </w:r>
    </w:p>
    <w:p>
      <w:pPr>
        <w:spacing w:line="460" w:lineRule="exact"/>
        <w:ind w:left="192"/>
        <w:rPr>
          <w:b/>
          <w:bCs/>
          <w:sz w:val="24"/>
        </w:rPr>
      </w:pPr>
    </w:p>
    <w:p>
      <w:pPr>
        <w:spacing w:line="460" w:lineRule="exact"/>
        <w:ind w:left="192"/>
        <w:rPr>
          <w:b/>
          <w:bCs/>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rFonts w:hint="eastAsia"/>
          <w:b/>
          <w:bCs/>
          <w:sz w:val="24"/>
        </w:rPr>
        <w:t>磋商</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w:t>
      </w:r>
      <w:r>
        <w:rPr>
          <w:rFonts w:hint="eastAsia"/>
          <w:sz w:val="24"/>
          <w:szCs w:val="21"/>
        </w:rPr>
        <w:t>磋商</w:t>
      </w:r>
      <w:r>
        <w:rPr>
          <w:sz w:val="24"/>
          <w:szCs w:val="21"/>
        </w:rPr>
        <w:t>代表人以我方的名义参加贵中心______________________项目（项目编号：_______________）的投标活动，并代表我方全权办理针对上述项目的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pPr>
        <w:spacing w:line="360" w:lineRule="auto"/>
        <w:ind w:firstLine="480" w:firstLineChars="200"/>
        <w:rPr>
          <w:sz w:val="24"/>
          <w:szCs w:val="21"/>
        </w:rPr>
      </w:pPr>
      <w:r>
        <w:rPr>
          <w:rFonts w:hint="eastAsia"/>
          <w:sz w:val="24"/>
          <w:szCs w:val="21"/>
        </w:rPr>
        <w:t>磋商</w:t>
      </w:r>
      <w:r>
        <w:rPr>
          <w:sz w:val="24"/>
          <w:szCs w:val="21"/>
        </w:rPr>
        <w:t>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rFonts w:hint="eastAsia"/>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rFonts w:hint="eastAsia"/>
                <w:sz w:val="24"/>
              </w:rPr>
              <w:t>磋商代表人身份证背面</w:t>
            </w:r>
          </w:p>
        </w:tc>
      </w:tr>
    </w:tbl>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5"/>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磋商要求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rFonts w:hint="eastAsia"/>
          <w:sz w:val="24"/>
        </w:rPr>
        <w:t>3</w:t>
      </w:r>
      <w:r>
        <w:rPr>
          <w:sz w:val="24"/>
        </w:rPr>
        <w:t>. 偏离说明指磋商要求与投标应答之间的不同之处。</w:t>
      </w:r>
    </w:p>
    <w:p>
      <w:pPr>
        <w:spacing w:line="360" w:lineRule="auto"/>
        <w:rPr>
          <w:sz w:val="24"/>
        </w:rPr>
      </w:pPr>
    </w:p>
    <w:p>
      <w:pPr>
        <w:spacing w:line="360" w:lineRule="auto"/>
        <w:rPr>
          <w:sz w:val="24"/>
        </w:rPr>
      </w:pPr>
    </w:p>
    <w:p>
      <w:pPr>
        <w:spacing w:line="360" w:lineRule="auto"/>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rPr>
          <w:sz w:val="24"/>
        </w:rPr>
      </w:pPr>
    </w:p>
    <w:p>
      <w:pPr>
        <w:tabs>
          <w:tab w:val="left" w:pos="360"/>
        </w:tabs>
        <w:spacing w:after="312" w:afterLines="100" w:line="360" w:lineRule="auto"/>
        <w:rPr>
          <w:b/>
          <w:sz w:val="24"/>
        </w:rPr>
      </w:pPr>
      <w:r>
        <w:rPr>
          <w:sz w:val="24"/>
        </w:rPr>
        <w:br w:type="page"/>
      </w:r>
      <w:r>
        <w:rPr>
          <w:b/>
          <w:sz w:val="24"/>
        </w:rPr>
        <w:t>附件4-2</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5"/>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394"/>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394"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394" w:type="dxa"/>
            <w:shd w:val="clear" w:color="auto" w:fill="auto"/>
            <w:vAlign w:val="center"/>
          </w:tcPr>
          <w:p>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394" w:type="dxa"/>
            <w:shd w:val="clear" w:color="auto" w:fill="auto"/>
            <w:vAlign w:val="center"/>
          </w:tcPr>
          <w:p>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rFonts w:hint="eastAsia" w:eastAsia="宋体"/>
                <w:kern w:val="0"/>
                <w:sz w:val="24"/>
                <w:szCs w:val="21"/>
                <w:lang w:val="en-US" w:eastAsia="zh-CN"/>
              </w:rPr>
            </w:pPr>
            <w:r>
              <w:rPr>
                <w:rFonts w:hint="eastAsia"/>
                <w:kern w:val="0"/>
                <w:sz w:val="24"/>
                <w:szCs w:val="21"/>
                <w:lang w:val="en-US" w:eastAsia="zh-CN"/>
              </w:rPr>
              <w:t>4</w:t>
            </w:r>
          </w:p>
        </w:tc>
        <w:tc>
          <w:tcPr>
            <w:tcW w:w="4394" w:type="dxa"/>
            <w:shd w:val="clear" w:color="auto" w:fill="auto"/>
            <w:vAlign w:val="center"/>
          </w:tcPr>
          <w:p>
            <w:pPr>
              <w:widowControl/>
              <w:snapToGrid w:val="0"/>
              <w:jc w:val="left"/>
              <w:rPr>
                <w:color w:val="000000"/>
                <w:sz w:val="24"/>
              </w:rPr>
            </w:pPr>
            <w:r>
              <w:rPr>
                <w:rFonts w:hint="eastAsia" w:ascii="宋体" w:hAnsi="宋体"/>
                <w:sz w:val="24"/>
                <w:szCs w:val="24"/>
                <w:lang w:val="en-US" w:eastAsia="zh-CN"/>
              </w:rPr>
              <w:t>（四）投标人须承诺</w:t>
            </w:r>
            <w:r>
              <w:rPr>
                <w:rFonts w:hint="eastAsia" w:ascii="宋体" w:hAnsi="宋体"/>
                <w:sz w:val="24"/>
                <w:szCs w:val="24"/>
              </w:rPr>
              <w:t>下班后</w:t>
            </w:r>
            <w:r>
              <w:rPr>
                <w:rFonts w:hint="eastAsia" w:ascii="宋体" w:hAnsi="宋体"/>
                <w:sz w:val="24"/>
                <w:szCs w:val="24"/>
                <w:lang w:val="en-US" w:eastAsia="zh-CN"/>
              </w:rPr>
              <w:t>公务</w:t>
            </w:r>
            <w:r>
              <w:rPr>
                <w:rFonts w:hint="eastAsia" w:ascii="宋体" w:hAnsi="宋体"/>
                <w:sz w:val="24"/>
                <w:szCs w:val="24"/>
              </w:rPr>
              <w:t>车辆不在外停放，如有特殊情况，需经</w:t>
            </w:r>
            <w:r>
              <w:rPr>
                <w:rFonts w:hint="eastAsia" w:ascii="宋体" w:hAnsi="宋体"/>
                <w:sz w:val="24"/>
                <w:szCs w:val="24"/>
                <w:lang w:val="en-US" w:eastAsia="zh-CN"/>
              </w:rPr>
              <w:t>采购人</w:t>
            </w:r>
            <w:r>
              <w:rPr>
                <w:rFonts w:hint="eastAsia" w:ascii="宋体" w:hAnsi="宋体"/>
                <w:sz w:val="24"/>
                <w:szCs w:val="24"/>
              </w:rPr>
              <w:t>同意后，方可在外停放，但要确保车辆在外存放安全。违反规定者第一次给与批评教育，第二次起每次罚款</w:t>
            </w:r>
            <w:r>
              <w:rPr>
                <w:rFonts w:ascii="宋体" w:hAnsi="宋体"/>
                <w:sz w:val="24"/>
                <w:szCs w:val="24"/>
              </w:rPr>
              <w:t>100</w:t>
            </w:r>
            <w:r>
              <w:rPr>
                <w:rFonts w:hint="eastAsia" w:ascii="宋体" w:hAnsi="宋体"/>
                <w:sz w:val="24"/>
                <w:szCs w:val="24"/>
              </w:rPr>
              <w:t>元，因违反规定造成车辆损失，</w:t>
            </w:r>
            <w:r>
              <w:rPr>
                <w:rFonts w:hint="eastAsia" w:ascii="宋体" w:hAnsi="宋体"/>
                <w:sz w:val="24"/>
                <w:szCs w:val="24"/>
                <w:lang w:val="en-US" w:eastAsia="zh-CN"/>
              </w:rPr>
              <w:t>车险范围以外的</w:t>
            </w:r>
            <w:r>
              <w:rPr>
                <w:rFonts w:hint="eastAsia" w:ascii="宋体" w:hAnsi="宋体"/>
                <w:sz w:val="24"/>
                <w:szCs w:val="24"/>
              </w:rPr>
              <w:t>费用均由司机承担</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shd w:val="clear" w:color="auto" w:fill="auto"/>
            <w:vAlign w:val="center"/>
          </w:tcPr>
          <w:p>
            <w:pPr>
              <w:widowControl/>
              <w:snapToGrid w:val="0"/>
              <w:ind w:firstLine="240" w:firstLineChars="100"/>
              <w:rPr>
                <w:kern w:val="0"/>
                <w:sz w:val="24"/>
                <w:szCs w:val="21"/>
              </w:rPr>
            </w:pPr>
            <w:r>
              <w:rPr>
                <w:rFonts w:hint="eastAsia"/>
                <w:kern w:val="0"/>
                <w:sz w:val="24"/>
                <w:szCs w:val="21"/>
                <w:lang w:val="en-US" w:eastAsia="zh-CN"/>
              </w:rPr>
              <w:t>5</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sz w:val="24"/>
        </w:rPr>
        <w:t>3. 偏离说明指磋商要求与投标应答之间的不同之处。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pPr>
        <w:spacing w:line="360" w:lineRule="auto"/>
        <w:ind w:firstLine="4080" w:firstLineChars="1700"/>
        <w:rPr>
          <w:sz w:val="24"/>
        </w:rPr>
      </w:pPr>
      <w:r>
        <w:rPr>
          <w:sz w:val="24"/>
        </w:rPr>
        <w:t>投标人名称：</w:t>
      </w:r>
    </w:p>
    <w:p>
      <w:pPr>
        <w:spacing w:line="360" w:lineRule="auto"/>
        <w:ind w:firstLine="4080" w:firstLineChars="170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pPr>
        <w:spacing w:line="460" w:lineRule="exact"/>
        <w:rPr>
          <w:b/>
          <w:sz w:val="24"/>
        </w:rPr>
      </w:pPr>
      <w:r>
        <w:rPr>
          <w:rFonts w:hint="eastAsia"/>
          <w:b/>
          <w:sz w:val="24"/>
        </w:rPr>
        <w:t>附件4-3</w:t>
      </w:r>
    </w:p>
    <w:p>
      <w:pPr>
        <w:spacing w:line="460" w:lineRule="exact"/>
        <w:ind w:left="192"/>
        <w:rPr>
          <w:b/>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16"/>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3"/>
        <w:gridCol w:w="1221"/>
        <w:gridCol w:w="1991"/>
        <w:gridCol w:w="1207"/>
        <w:gridCol w:w="129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b/>
                <w:szCs w:val="21"/>
              </w:rPr>
            </w:pPr>
            <w:r>
              <w:rPr>
                <w:b/>
                <w:szCs w:val="21"/>
              </w:rPr>
              <w:t>序号</w:t>
            </w:r>
          </w:p>
        </w:tc>
        <w:tc>
          <w:tcPr>
            <w:tcW w:w="680" w:type="pct"/>
            <w:vAlign w:val="center"/>
          </w:tcPr>
          <w:p>
            <w:pPr>
              <w:spacing w:line="360" w:lineRule="auto"/>
              <w:jc w:val="center"/>
              <w:rPr>
                <w:b/>
                <w:szCs w:val="21"/>
              </w:rPr>
            </w:pPr>
            <w:r>
              <w:rPr>
                <w:b/>
                <w:szCs w:val="21"/>
              </w:rPr>
              <w:t>岗位名称</w:t>
            </w:r>
          </w:p>
        </w:tc>
        <w:tc>
          <w:tcPr>
            <w:tcW w:w="679" w:type="pct"/>
            <w:vAlign w:val="center"/>
          </w:tcPr>
          <w:p>
            <w:pPr>
              <w:spacing w:line="360" w:lineRule="auto"/>
              <w:jc w:val="center"/>
              <w:rPr>
                <w:b/>
                <w:szCs w:val="21"/>
              </w:rPr>
            </w:pPr>
            <w:r>
              <w:rPr>
                <w:rFonts w:hint="eastAsia"/>
                <w:b/>
                <w:szCs w:val="21"/>
              </w:rPr>
              <w:t>投入</w:t>
            </w:r>
            <w:r>
              <w:rPr>
                <w:b/>
                <w:szCs w:val="21"/>
              </w:rPr>
              <w:t>人数</w:t>
            </w:r>
          </w:p>
        </w:tc>
        <w:tc>
          <w:tcPr>
            <w:tcW w:w="1107" w:type="pct"/>
            <w:vAlign w:val="center"/>
          </w:tcPr>
          <w:p>
            <w:pPr>
              <w:spacing w:line="360" w:lineRule="auto"/>
              <w:jc w:val="center"/>
              <w:rPr>
                <w:b/>
                <w:szCs w:val="21"/>
              </w:rPr>
            </w:pPr>
            <w:r>
              <w:rPr>
                <w:rFonts w:hint="eastAsia"/>
                <w:b/>
                <w:szCs w:val="21"/>
              </w:rPr>
              <w:t>人员情况简介</w:t>
            </w:r>
          </w:p>
        </w:tc>
        <w:tc>
          <w:tcPr>
            <w:tcW w:w="671" w:type="pct"/>
            <w:vAlign w:val="center"/>
          </w:tcPr>
          <w:p>
            <w:pPr>
              <w:spacing w:line="360" w:lineRule="auto"/>
              <w:jc w:val="center"/>
              <w:rPr>
                <w:b/>
                <w:szCs w:val="21"/>
              </w:rPr>
            </w:pPr>
            <w:r>
              <w:rPr>
                <w:rFonts w:hint="eastAsia"/>
                <w:b/>
                <w:szCs w:val="21"/>
              </w:rPr>
              <w:t>是否退休</w:t>
            </w:r>
          </w:p>
        </w:tc>
        <w:tc>
          <w:tcPr>
            <w:tcW w:w="719" w:type="pct"/>
            <w:vAlign w:val="center"/>
          </w:tcPr>
          <w:p>
            <w:pPr>
              <w:spacing w:line="360" w:lineRule="auto"/>
              <w:jc w:val="center"/>
              <w:rPr>
                <w:b/>
                <w:szCs w:val="21"/>
              </w:rPr>
            </w:pPr>
            <w:r>
              <w:rPr>
                <w:b/>
                <w:szCs w:val="21"/>
              </w:rPr>
              <w:t>工作时间</w:t>
            </w:r>
          </w:p>
        </w:tc>
        <w:tc>
          <w:tcPr>
            <w:tcW w:w="721" w:type="pct"/>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gridSpan w:val="2"/>
            <w:vAlign w:val="center"/>
          </w:tcPr>
          <w:p>
            <w:pPr>
              <w:spacing w:line="360" w:lineRule="auto"/>
              <w:jc w:val="center"/>
              <w:rPr>
                <w:szCs w:val="21"/>
              </w:rPr>
            </w:pPr>
            <w:r>
              <w:rPr>
                <w:rFonts w:hint="eastAsia"/>
                <w:szCs w:val="21"/>
              </w:rPr>
              <w:t>合计人数</w:t>
            </w:r>
          </w:p>
        </w:tc>
        <w:tc>
          <w:tcPr>
            <w:tcW w:w="3897" w:type="pct"/>
            <w:gridSpan w:val="5"/>
            <w:vAlign w:val="center"/>
          </w:tcPr>
          <w:p>
            <w:pPr>
              <w:spacing w:line="360" w:lineRule="auto"/>
              <w:jc w:val="center"/>
              <w:rPr>
                <w:szCs w:val="21"/>
              </w:rPr>
            </w:pPr>
          </w:p>
        </w:tc>
      </w:tr>
    </w:tbl>
    <w:p>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w:t>
      </w:r>
    </w:p>
    <w:p>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40" w:firstLineChars="100"/>
        <w:rPr>
          <w:sz w:val="24"/>
        </w:rPr>
      </w:pPr>
      <w:r>
        <w:rPr>
          <w:sz w:val="24"/>
        </w:rPr>
        <w:t>投标人名称：</w:t>
      </w:r>
    </w:p>
    <w:p>
      <w:pPr>
        <w:spacing w:line="360" w:lineRule="auto"/>
        <w:ind w:right="84" w:firstLine="240" w:firstLineChars="100"/>
        <w:rPr>
          <w:sz w:val="24"/>
        </w:rPr>
      </w:pPr>
    </w:p>
    <w:p>
      <w:pPr>
        <w:spacing w:line="360" w:lineRule="auto"/>
        <w:ind w:right="84" w:firstLine="240" w:firstLineChars="1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left="192"/>
        <w:rPr>
          <w:b/>
          <w:sz w:val="24"/>
        </w:rPr>
      </w:pPr>
    </w:p>
    <w:p>
      <w:pPr>
        <w:spacing w:line="460" w:lineRule="exact"/>
        <w:ind w:left="192"/>
        <w:rPr>
          <w:b/>
          <w:sz w:val="24"/>
        </w:rPr>
      </w:pPr>
    </w:p>
    <w:p>
      <w:pPr>
        <w:widowControl/>
        <w:jc w:val="left"/>
        <w:rPr>
          <w:b/>
          <w:sz w:val="24"/>
        </w:rPr>
      </w:pPr>
      <w:r>
        <w:rPr>
          <w:b/>
          <w:sz w:val="24"/>
        </w:rPr>
        <w:br w:type="page"/>
      </w:r>
    </w:p>
    <w:p>
      <w:pPr>
        <w:spacing w:line="460" w:lineRule="exact"/>
        <w:rPr>
          <w:b/>
          <w:sz w:val="24"/>
        </w:rPr>
      </w:pPr>
      <w:r>
        <w:rPr>
          <w:b/>
          <w:sz w:val="24"/>
        </w:rPr>
        <w:t>附件5：评分因素中要求的各项方案、证明材料等</w:t>
      </w:r>
    </w:p>
    <w:p>
      <w:pPr>
        <w:spacing w:line="360" w:lineRule="auto"/>
        <w:ind w:firstLine="480" w:firstLineChars="200"/>
        <w:rPr>
          <w:bCs/>
          <w:color w:val="000000"/>
          <w:sz w:val="24"/>
        </w:rPr>
      </w:pPr>
    </w:p>
    <w:p>
      <w:pPr>
        <w:spacing w:line="360" w:lineRule="auto"/>
        <w:ind w:firstLine="480" w:firstLineChars="200"/>
        <w:rPr>
          <w:color w:val="000000"/>
          <w:sz w:val="24"/>
        </w:rPr>
      </w:pPr>
      <w:r>
        <w:rPr>
          <w:bCs/>
          <w:color w:val="000000"/>
          <w:sz w:val="24"/>
        </w:rPr>
        <w:t>请投标人根据磋商文件“评分因素及评审标准”中的</w:t>
      </w:r>
      <w:r>
        <w:rPr>
          <w:color w:val="000000"/>
          <w:sz w:val="24"/>
        </w:rPr>
        <w:t>要求，按顺序提供详细的方案、证明材料等。</w:t>
      </w:r>
    </w:p>
    <w:p>
      <w:pPr>
        <w:spacing w:line="360" w:lineRule="auto"/>
        <w:ind w:firstLine="480" w:firstLineChars="200"/>
        <w:rPr>
          <w:color w:val="000000"/>
          <w:sz w:val="24"/>
        </w:rPr>
      </w:pPr>
      <w:r>
        <w:rPr>
          <w:color w:val="000000"/>
          <w:sz w:val="24"/>
        </w:rPr>
        <w:t>投标人将专项服务委托专业公司承担的，应当进行说明。</w:t>
      </w:r>
    </w:p>
    <w:p>
      <w:pPr>
        <w:spacing w:line="360" w:lineRule="auto"/>
        <w:ind w:firstLine="480" w:firstLineChars="200"/>
        <w:rPr>
          <w:color w:val="000000"/>
          <w:sz w:val="24"/>
        </w:rPr>
      </w:pPr>
      <w:r>
        <w:rPr>
          <w:color w:val="000000"/>
          <w:sz w:val="24"/>
        </w:rPr>
        <w:t>投标人认为必需的其他内容。</w:t>
      </w:r>
    </w:p>
    <w:p>
      <w:pPr>
        <w:spacing w:line="460" w:lineRule="exact"/>
        <w:ind w:left="192"/>
        <w:jc w:val="left"/>
        <w:rPr>
          <w:sz w:val="24"/>
        </w:rPr>
      </w:pPr>
    </w:p>
    <w:p>
      <w:pPr>
        <w:spacing w:line="480" w:lineRule="auto"/>
      </w:pPr>
      <w:r>
        <w:rPr>
          <w:b/>
          <w:sz w:val="24"/>
        </w:rPr>
        <w:br w:type="page"/>
      </w:r>
      <w:r>
        <w:rPr>
          <w:b/>
          <w:sz w:val="24"/>
        </w:rPr>
        <w:t>附件6</w:t>
      </w:r>
    </w:p>
    <w:p>
      <w:pPr>
        <w:spacing w:line="560" w:lineRule="exact"/>
        <w:jc w:val="center"/>
        <w:rPr>
          <w:b/>
          <w:sz w:val="24"/>
        </w:rPr>
      </w:pPr>
      <w:r>
        <w:rPr>
          <w:b/>
          <w:sz w:val="24"/>
        </w:rPr>
        <w:t>投标人</w:t>
      </w:r>
      <w:r>
        <w:rPr>
          <w:rFonts w:hint="eastAsia"/>
          <w:b/>
          <w:sz w:val="24"/>
        </w:rPr>
        <w:t>业绩</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ind w:left="192"/>
        <w:rPr>
          <w:sz w:val="24"/>
        </w:rPr>
      </w:pPr>
      <w:r>
        <w:rPr>
          <w:sz w:val="24"/>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314"/>
        <w:gridCol w:w="1028"/>
        <w:gridCol w:w="1314"/>
        <w:gridCol w:w="1597"/>
        <w:gridCol w:w="116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用户单位名称</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项目内容</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实施地点</w:t>
            </w:r>
          </w:p>
        </w:tc>
        <w:tc>
          <w:tcPr>
            <w:tcW w:w="937"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联系人及联系方式</w:t>
            </w:r>
          </w:p>
        </w:tc>
        <w:tc>
          <w:tcPr>
            <w:tcW w:w="685"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项目起止时间</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bl>
    <w:p>
      <w:pPr>
        <w:spacing w:line="460" w:lineRule="exact"/>
        <w:ind w:left="192"/>
        <w:rPr>
          <w:sz w:val="24"/>
        </w:rPr>
      </w:pPr>
    </w:p>
    <w:p>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pPr>
        <w:spacing w:line="560" w:lineRule="exact"/>
        <w:rPr>
          <w:b/>
          <w:sz w:val="24"/>
        </w:rPr>
      </w:pPr>
    </w:p>
    <w:p>
      <w:pPr>
        <w:spacing w:line="560" w:lineRule="exact"/>
        <w:rPr>
          <w:b/>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80" w:lineRule="auto"/>
        <w:rPr>
          <w:b/>
          <w:color w:val="000000"/>
          <w:sz w:val="24"/>
        </w:rPr>
      </w:pPr>
      <w:r>
        <w:rPr>
          <w:b/>
          <w:color w:val="000000"/>
          <w:sz w:val="24"/>
        </w:rPr>
        <w:t>附件7-1</w:t>
      </w:r>
    </w:p>
    <w:p>
      <w:pPr>
        <w:spacing w:line="480" w:lineRule="auto"/>
        <w:jc w:val="center"/>
        <w:rPr>
          <w:b/>
          <w:sz w:val="30"/>
        </w:rPr>
      </w:pPr>
      <w:r>
        <w:rPr>
          <w:b/>
          <w:color w:val="000000"/>
          <w:sz w:val="24"/>
        </w:rPr>
        <w:t>项目负责人资格审查表</w:t>
      </w:r>
    </w:p>
    <w:tbl>
      <w:tblPr>
        <w:tblStyle w:val="15"/>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460" w:lineRule="exact"/>
        <w:ind w:left="192"/>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附件7-2</w:t>
      </w:r>
    </w:p>
    <w:p>
      <w:pPr>
        <w:spacing w:line="360" w:lineRule="auto"/>
        <w:ind w:right="84"/>
        <w:jc w:val="center"/>
        <w:rPr>
          <w:b/>
          <w:sz w:val="24"/>
          <w:szCs w:val="24"/>
        </w:rPr>
      </w:pPr>
      <w:r>
        <w:rPr>
          <w:b/>
          <w:position w:val="-40"/>
          <w:sz w:val="24"/>
          <w:szCs w:val="24"/>
        </w:rPr>
        <w:t>拟在本项目使用的主要设备一览表</w:t>
      </w:r>
    </w:p>
    <w:tbl>
      <w:tblPr>
        <w:tblStyle w:val="15"/>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sz w:val="24"/>
        </w:rPr>
      </w:pP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附件7-3</w:t>
      </w:r>
    </w:p>
    <w:p>
      <w:pPr>
        <w:tabs>
          <w:tab w:val="left" w:pos="240"/>
        </w:tabs>
        <w:jc w:val="center"/>
        <w:rPr>
          <w:b/>
          <w:sz w:val="24"/>
          <w:szCs w:val="24"/>
        </w:rPr>
      </w:pPr>
      <w:r>
        <w:rPr>
          <w:b/>
          <w:sz w:val="24"/>
          <w:szCs w:val="24"/>
        </w:rPr>
        <w:t>采购人须向供应商提供的条件</w:t>
      </w:r>
    </w:p>
    <w:p>
      <w:pPr>
        <w:tabs>
          <w:tab w:val="left" w:pos="240"/>
        </w:tabs>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2"/>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position w:val="-40"/>
        </w:rPr>
      </w:pPr>
      <w:r>
        <w:rPr>
          <w:sz w:val="24"/>
        </w:rPr>
        <w:t xml:space="preserve">  </w:t>
      </w:r>
    </w:p>
    <w:p>
      <w:pPr>
        <w:spacing w:line="480" w:lineRule="auto"/>
        <w:rPr>
          <w:b/>
          <w:sz w:val="24"/>
        </w:rPr>
      </w:pPr>
    </w:p>
    <w:p>
      <w:pPr>
        <w:spacing w:line="480" w:lineRule="auto"/>
        <w:rPr>
          <w:b/>
          <w:sz w:val="24"/>
        </w:rPr>
      </w:pPr>
    </w:p>
    <w:p>
      <w:pPr>
        <w:widowControl/>
        <w:jc w:val="left"/>
        <w:rPr>
          <w:b/>
          <w:sz w:val="24"/>
        </w:rPr>
      </w:pPr>
      <w:r>
        <w:rPr>
          <w:b/>
          <w:sz w:val="24"/>
        </w:rPr>
        <w:br w:type="page"/>
      </w:r>
    </w:p>
    <w:p>
      <w:pPr>
        <w:spacing w:line="620" w:lineRule="exact"/>
        <w:rPr>
          <w:b/>
          <w:sz w:val="24"/>
        </w:rPr>
      </w:pPr>
      <w:r>
        <w:rPr>
          <w:b/>
          <w:sz w:val="24"/>
        </w:rPr>
        <w:t>附件8</w:t>
      </w:r>
      <w:r>
        <w:rPr>
          <w:rFonts w:hint="eastAsia"/>
          <w:b/>
          <w:sz w:val="24"/>
        </w:rPr>
        <w:t>-1</w:t>
      </w:r>
    </w:p>
    <w:p>
      <w:pPr>
        <w:autoSpaceDN w:val="0"/>
        <w:spacing w:line="360" w:lineRule="auto"/>
        <w:jc w:val="center"/>
        <w:rPr>
          <w:b/>
          <w:bCs/>
          <w:sz w:val="24"/>
          <w:szCs w:val="24"/>
        </w:rPr>
      </w:pP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41" w:firstLineChars="100"/>
        <w:rPr>
          <w:b/>
          <w:sz w:val="24"/>
          <w:szCs w:val="24"/>
        </w:rPr>
      </w:pPr>
      <w:r>
        <w:rPr>
          <w:b/>
          <w:sz w:val="24"/>
          <w:szCs w:val="24"/>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r>
        <w:rPr>
          <w:rFonts w:hint="eastAsia"/>
          <w:b/>
          <w:bCs/>
          <w:sz w:val="24"/>
        </w:rPr>
        <w:t>附件8-2</w:t>
      </w:r>
    </w:p>
    <w:p>
      <w:pPr>
        <w:autoSpaceDN w:val="0"/>
        <w:spacing w:line="360" w:lineRule="auto"/>
        <w:jc w:val="left"/>
        <w:rPr>
          <w:b/>
          <w:bCs/>
          <w:sz w:val="24"/>
        </w:rPr>
      </w:pPr>
      <w:r>
        <w:rPr>
          <w:rFonts w:hint="eastAsia"/>
          <w:b/>
          <w:kern w:val="0"/>
          <w:sz w:val="24"/>
          <w:szCs w:val="21"/>
        </w:rPr>
        <w:t>若不是残疾人福利性单位，响应文件中可不提供此声明函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rFonts w:hint="eastAsia"/>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若不是残疾人福利性单位，响应文件中可不提供此声明函。</w:t>
      </w:r>
    </w:p>
    <w:p>
      <w:pPr>
        <w:spacing w:line="360" w:lineRule="auto"/>
        <w:ind w:firstLine="4080" w:firstLineChars="1700"/>
        <w:rPr>
          <w:sz w:val="24"/>
        </w:rPr>
      </w:pPr>
    </w:p>
    <w:p>
      <w:pPr>
        <w:jc w:val="left"/>
        <w:rPr>
          <w:sz w:val="24"/>
        </w:rPr>
      </w:pPr>
      <w:r>
        <w:rPr>
          <w:sz w:val="24"/>
        </w:rPr>
        <w:br w:type="page"/>
      </w:r>
    </w:p>
    <w:p>
      <w:pPr>
        <w:jc w:val="left"/>
        <w:rPr>
          <w:b/>
          <w:bCs/>
          <w:sz w:val="24"/>
        </w:rPr>
      </w:pPr>
      <w:r>
        <w:rPr>
          <w:b/>
          <w:sz w:val="24"/>
          <w:szCs w:val="24"/>
        </w:rPr>
        <w:t>附件9</w:t>
      </w:r>
    </w:p>
    <w:p>
      <w:pPr>
        <w:jc w:val="left"/>
        <w:rPr>
          <w:b/>
          <w:bCs/>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5"/>
        <w:tabs>
          <w:tab w:val="left" w:pos="360"/>
        </w:tabs>
        <w:spacing w:line="360" w:lineRule="auto"/>
        <w:ind w:firstLine="480"/>
        <w:rPr>
          <w:sz w:val="24"/>
          <w:lang w:eastAsia="zh-CN"/>
        </w:rPr>
      </w:pPr>
    </w:p>
    <w:p>
      <w:pPr>
        <w:pStyle w:val="35"/>
        <w:tabs>
          <w:tab w:val="left" w:pos="360"/>
        </w:tabs>
        <w:spacing w:line="360" w:lineRule="auto"/>
        <w:ind w:firstLine="480"/>
        <w:rPr>
          <w:sz w:val="24"/>
          <w:lang w:eastAsia="zh-CN"/>
        </w:rPr>
      </w:pPr>
      <w:r>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pPr>
        <w:pStyle w:val="35"/>
        <w:tabs>
          <w:tab w:val="left" w:pos="360"/>
        </w:tabs>
        <w:spacing w:line="360" w:lineRule="auto"/>
        <w:ind w:firstLine="480"/>
        <w:rPr>
          <w:sz w:val="24"/>
          <w:lang w:eastAsia="zh-CN"/>
        </w:rPr>
      </w:pPr>
      <w:r>
        <w:rPr>
          <w:rFonts w:hint="eastAsia"/>
          <w:sz w:val="24"/>
          <w:lang w:eastAsia="zh-CN"/>
        </w:rPr>
        <w:t>我单位具备良好的商业信誉和健全的财务会计制度，依法缴纳税收和社会保障资金。</w:t>
      </w:r>
    </w:p>
    <w:p>
      <w:pPr>
        <w:pStyle w:val="35"/>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5"/>
        <w:tabs>
          <w:tab w:val="left" w:pos="360"/>
        </w:tabs>
        <w:spacing w:line="360" w:lineRule="auto"/>
        <w:ind w:firstLine="0" w:firstLineChars="0"/>
        <w:rPr>
          <w:sz w:val="24"/>
          <w:u w:val="single"/>
          <w:lang w:eastAsia="zh-CN"/>
        </w:rPr>
      </w:pPr>
      <w:r>
        <w:rPr>
          <w:rFonts w:hint="eastAsia"/>
          <w:sz w:val="24"/>
          <w:u w:val="single"/>
          <w:lang w:eastAsia="zh-CN"/>
        </w:rPr>
        <w:t xml:space="preserve">                                                                     </w:t>
      </w:r>
    </w:p>
    <w:p>
      <w:pPr>
        <w:pStyle w:val="35"/>
        <w:tabs>
          <w:tab w:val="left" w:pos="360"/>
        </w:tabs>
        <w:spacing w:line="360" w:lineRule="auto"/>
        <w:ind w:firstLine="480"/>
        <w:rPr>
          <w:sz w:val="24"/>
          <w:lang w:eastAsia="zh-CN"/>
        </w:rPr>
      </w:pPr>
    </w:p>
    <w:p>
      <w:pPr>
        <w:pStyle w:val="35"/>
        <w:spacing w:line="360" w:lineRule="auto"/>
        <w:ind w:firstLine="0" w:firstLineChars="0"/>
        <w:jc w:val="center"/>
        <w:rPr>
          <w:b/>
          <w:sz w:val="24"/>
          <w:lang w:eastAsia="zh-CN"/>
        </w:rPr>
      </w:pPr>
    </w:p>
    <w:p>
      <w:pPr>
        <w:pStyle w:val="35"/>
        <w:spacing w:line="360" w:lineRule="auto"/>
        <w:ind w:firstLine="0" w:firstLineChars="0"/>
        <w:jc w:val="center"/>
        <w:rPr>
          <w:b/>
          <w:sz w:val="24"/>
          <w:lang w:eastAsia="zh-CN"/>
        </w:rPr>
      </w:pPr>
    </w:p>
    <w:p>
      <w:pPr>
        <w:pStyle w:val="35"/>
        <w:spacing w:line="360" w:lineRule="auto"/>
        <w:ind w:firstLine="0" w:firstLineChars="0"/>
        <w:jc w:val="center"/>
        <w:rPr>
          <w:b/>
          <w:sz w:val="24"/>
          <w:lang w:eastAsia="zh-CN"/>
        </w:rPr>
      </w:pPr>
      <w:r>
        <w:rPr>
          <w:rFonts w:hint="eastAsia"/>
          <w:b/>
          <w:sz w:val="24"/>
          <w:lang w:eastAsia="zh-CN"/>
        </w:rPr>
        <w:t>证明材料</w:t>
      </w:r>
    </w:p>
    <w:p>
      <w:pPr>
        <w:pStyle w:val="35"/>
        <w:tabs>
          <w:tab w:val="left" w:pos="360"/>
        </w:tabs>
        <w:spacing w:line="360" w:lineRule="auto"/>
        <w:ind w:firstLine="480"/>
        <w:rPr>
          <w:sz w:val="24"/>
          <w:lang w:eastAsia="zh-CN"/>
        </w:rPr>
      </w:pPr>
    </w:p>
    <w:p>
      <w:pPr>
        <w:pStyle w:val="35"/>
        <w:tabs>
          <w:tab w:val="left" w:pos="360"/>
        </w:tabs>
        <w:spacing w:line="360" w:lineRule="auto"/>
        <w:ind w:firstLine="480"/>
        <w:rPr>
          <w:sz w:val="24"/>
          <w:lang w:eastAsia="zh-CN"/>
        </w:rPr>
      </w:pPr>
      <w:r>
        <w:rPr>
          <w:sz w:val="24"/>
          <w:lang w:eastAsia="zh-CN"/>
        </w:rPr>
        <w:t>我单位具备</w:t>
      </w:r>
      <w:r>
        <w:rPr>
          <w:rFonts w:hint="eastAsia"/>
          <w:sz w:val="24"/>
          <w:lang w:eastAsia="zh-CN"/>
        </w:rPr>
        <w:t>履行本项目合同所必需的设备和专业技术能力。</w:t>
      </w:r>
    </w:p>
    <w:p>
      <w:pPr>
        <w:pStyle w:val="35"/>
        <w:tabs>
          <w:tab w:val="left" w:pos="360"/>
        </w:tabs>
        <w:spacing w:line="360" w:lineRule="auto"/>
        <w:ind w:firstLine="480"/>
        <w:rPr>
          <w:sz w:val="24"/>
          <w:lang w:eastAsia="zh-CN"/>
        </w:rPr>
      </w:pPr>
    </w:p>
    <w:p>
      <w:pPr>
        <w:pStyle w:val="35"/>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jc w:val="left"/>
        <w:rPr>
          <w:b/>
          <w:bCs/>
          <w:sz w:val="24"/>
        </w:rPr>
      </w:pPr>
    </w:p>
    <w:p>
      <w:pPr>
        <w:jc w:val="left"/>
        <w:rPr>
          <w:b/>
          <w:bCs/>
          <w:sz w:val="24"/>
        </w:rPr>
      </w:pPr>
    </w:p>
    <w:p>
      <w:pPr>
        <w:jc w:val="left"/>
        <w:rPr>
          <w:b/>
          <w:sz w:val="24"/>
        </w:rPr>
      </w:pPr>
    </w:p>
    <w:p>
      <w:pPr>
        <w:spacing w:line="460" w:lineRule="exact"/>
        <w:ind w:left="192"/>
        <w:jc w:val="left"/>
        <w:rPr>
          <w:b/>
          <w:sz w:val="24"/>
        </w:rPr>
      </w:pPr>
    </w:p>
    <w:p>
      <w:pPr>
        <w:widowControl/>
        <w:jc w:val="left"/>
        <w:rPr>
          <w:b/>
          <w:sz w:val="24"/>
        </w:rPr>
      </w:pPr>
      <w:r>
        <w:rPr>
          <w:b/>
          <w:sz w:val="24"/>
        </w:rPr>
        <w:br w:type="page"/>
      </w:r>
    </w:p>
    <w:p>
      <w:pPr>
        <w:spacing w:line="460" w:lineRule="exact"/>
        <w:jc w:val="left"/>
        <w:rPr>
          <w:b/>
          <w:sz w:val="24"/>
        </w:rPr>
      </w:pPr>
      <w:r>
        <w:rPr>
          <w:rFonts w:hint="eastAsia"/>
          <w:b/>
          <w:sz w:val="24"/>
        </w:rPr>
        <w:t>附件10：</w:t>
      </w:r>
      <w:r>
        <w:rPr>
          <w:b/>
          <w:sz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tabs>
          <w:tab w:val="left" w:pos="360"/>
        </w:tabs>
        <w:spacing w:line="560" w:lineRule="exact"/>
        <w:jc w:val="center"/>
        <w:rPr>
          <w:b/>
          <w:sz w:val="24"/>
        </w:rPr>
      </w:pPr>
      <w:r>
        <w:rPr>
          <w:sz w:val="24"/>
        </w:rPr>
        <w:br w:type="page"/>
      </w:r>
      <w:r>
        <w:rPr>
          <w:b/>
          <w:sz w:val="24"/>
        </w:rPr>
        <w:t>报价书</w:t>
      </w:r>
    </w:p>
    <w:p>
      <w:pPr>
        <w:tabs>
          <w:tab w:val="left" w:pos="360"/>
        </w:tabs>
        <w:spacing w:line="560" w:lineRule="exact"/>
        <w:jc w:val="center"/>
        <w:rPr>
          <w:b/>
          <w:sz w:val="24"/>
        </w:rPr>
      </w:pP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pPr>
        <w:spacing w:line="460" w:lineRule="exact"/>
        <w:rPr>
          <w:sz w:val="24"/>
        </w:rPr>
      </w:pPr>
      <w:r>
        <w:rPr>
          <w:sz w:val="24"/>
        </w:rPr>
        <w:t>据此函，签字代表宣布同意如下：</w:t>
      </w:r>
    </w:p>
    <w:p>
      <w:pPr>
        <w:spacing w:line="460" w:lineRule="exact"/>
        <w:ind w:left="480"/>
        <w:jc w:val="left"/>
        <w:rPr>
          <w:sz w:val="24"/>
        </w:rPr>
      </w:pPr>
      <w:r>
        <w:rPr>
          <w:sz w:val="24"/>
        </w:rPr>
        <w:t>1. 所附</w:t>
      </w:r>
      <w:r>
        <w:rPr>
          <w:rFonts w:hint="eastAsia"/>
          <w:sz w:val="24"/>
        </w:rPr>
        <w:t>磋商</w:t>
      </w:r>
      <w:r>
        <w:rPr>
          <w:sz w:val="24"/>
        </w:rPr>
        <w:t>报价表中规定的应提供</w:t>
      </w:r>
      <w:r>
        <w:rPr>
          <w:rFonts w:hint="eastAsia"/>
          <w:sz w:val="24"/>
        </w:rPr>
        <w:t>的</w:t>
      </w:r>
      <w:r>
        <w:rPr>
          <w:sz w:val="24"/>
        </w:rPr>
        <w:t>服务总价为</w:t>
      </w:r>
    </w:p>
    <w:p>
      <w:pPr>
        <w:spacing w:line="460" w:lineRule="exact"/>
        <w:ind w:left="480"/>
        <w:jc w:val="left"/>
        <w:rPr>
          <w:sz w:val="24"/>
        </w:rPr>
      </w:pPr>
      <w:r>
        <w:rPr>
          <w:sz w:val="24"/>
        </w:rPr>
        <w:t>第</w:t>
      </w:r>
      <w:r>
        <w:rPr>
          <w:rFonts w:hint="eastAsia"/>
          <w:sz w:val="24"/>
        </w:rPr>
        <w:t xml:space="preserve">  </w:t>
      </w:r>
      <w:r>
        <w:rPr>
          <w:sz w:val="24"/>
        </w:rPr>
        <w:t>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firstLine="471"/>
        <w:rPr>
          <w:sz w:val="24"/>
        </w:rPr>
      </w:pPr>
      <w:r>
        <w:rPr>
          <w:sz w:val="24"/>
        </w:rPr>
        <w:t>2. 投标人已经对全部价格进行了认真核对，保证本报价真实、准确无误，并承担本价格所对应本项目的一切责任和义务。</w:t>
      </w:r>
    </w:p>
    <w:p>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pPr>
        <w:spacing w:line="460" w:lineRule="exact"/>
        <w:ind w:firstLine="471"/>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firstLine="471"/>
        <w:rPr>
          <w:sz w:val="24"/>
        </w:rPr>
      </w:pPr>
    </w:p>
    <w:p>
      <w:pPr>
        <w:spacing w:line="460" w:lineRule="exact"/>
        <w:jc w:val="left"/>
        <w:rPr>
          <w:b/>
          <w:sz w:val="24"/>
        </w:rPr>
      </w:pPr>
      <w:r>
        <w:rPr>
          <w:b/>
          <w:sz w:val="24"/>
        </w:rPr>
        <w:br w:type="page"/>
      </w:r>
      <w:r>
        <w:rPr>
          <w:b/>
          <w:sz w:val="24"/>
        </w:rPr>
        <w:t>附件1</w:t>
      </w:r>
    </w:p>
    <w:p>
      <w:pPr>
        <w:tabs>
          <w:tab w:val="left" w:pos="3780"/>
          <w:tab w:val="left" w:pos="3960"/>
        </w:tabs>
        <w:spacing w:line="460" w:lineRule="exact"/>
        <w:jc w:val="center"/>
        <w:rPr>
          <w:b/>
          <w:sz w:val="24"/>
        </w:rPr>
      </w:pPr>
      <w:r>
        <w:rPr>
          <w:b/>
          <w:sz w:val="24"/>
        </w:rPr>
        <w:t>报价分项一览表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960" w:firstLineChars="2900"/>
        <w:rPr>
          <w:sz w:val="24"/>
        </w:rPr>
      </w:pPr>
      <w:r>
        <w:rPr>
          <w:sz w:val="24"/>
        </w:rPr>
        <w:t>单位：元</w:t>
      </w:r>
    </w:p>
    <w:tbl>
      <w:tblPr>
        <w:tblStyle w:val="15"/>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3"/>
        <w:gridCol w:w="3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5</w:t>
            </w:r>
          </w:p>
        </w:tc>
        <w:tc>
          <w:tcPr>
            <w:tcW w:w="2121" w:type="pct"/>
            <w:vAlign w:val="center"/>
          </w:tcPr>
          <w:p>
            <w:pPr>
              <w:jc w:val="center"/>
              <w:rPr>
                <w:szCs w:val="21"/>
              </w:rPr>
            </w:pPr>
            <w:r>
              <w:rPr>
                <w:szCs w:val="21"/>
              </w:rPr>
              <w:t>绿化养护费用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6</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7</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8</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80" w:firstLineChars="200"/>
        <w:rPr>
          <w:kern w:val="0"/>
          <w:sz w:val="24"/>
          <w:szCs w:val="24"/>
        </w:rPr>
      </w:pPr>
      <w:r>
        <w:rPr>
          <w:rFonts w:hint="eastAsia"/>
          <w:kern w:val="0"/>
          <w:sz w:val="24"/>
          <w:szCs w:val="24"/>
        </w:rPr>
        <w:t>3</w:t>
      </w:r>
      <w:r>
        <w:rPr>
          <w:kern w:val="0"/>
          <w:sz w:val="24"/>
          <w:szCs w:val="24"/>
        </w:rPr>
        <w:t>. 上述表格中列明的条目，在本项目中如不涉及，请填写“不涉及”。</w:t>
      </w:r>
    </w:p>
    <w:p>
      <w:pPr>
        <w:spacing w:line="360" w:lineRule="auto"/>
        <w:ind w:firstLine="480" w:firstLineChars="200"/>
        <w:rPr>
          <w:kern w:val="0"/>
          <w:sz w:val="24"/>
          <w:szCs w:val="24"/>
        </w:rPr>
      </w:pPr>
      <w:r>
        <w:rPr>
          <w:rFonts w:hint="eastAsia"/>
          <w:sz w:val="24"/>
          <w:szCs w:val="24"/>
        </w:rPr>
        <w:t>4</w:t>
      </w:r>
      <w:r>
        <w:rPr>
          <w:sz w:val="24"/>
          <w:szCs w:val="24"/>
        </w:rPr>
        <w:t xml:space="preserve">. </w:t>
      </w:r>
      <w:r>
        <w:rPr>
          <w:kern w:val="0"/>
          <w:sz w:val="24"/>
          <w:szCs w:val="24"/>
        </w:rPr>
        <w:t>上述报价不得出现0报价</w:t>
      </w:r>
      <w:r>
        <w:rPr>
          <w:rFonts w:hint="eastAsia"/>
          <w:kern w:val="0"/>
          <w:sz w:val="24"/>
          <w:szCs w:val="24"/>
        </w:rPr>
        <w:t>。</w:t>
      </w:r>
    </w:p>
    <w:p>
      <w:pPr>
        <w:spacing w:line="360" w:lineRule="auto"/>
        <w:ind w:firstLine="480" w:firstLineChars="200"/>
        <w:rPr>
          <w:kern w:val="0"/>
          <w:sz w:val="24"/>
          <w:szCs w:val="24"/>
        </w:rPr>
      </w:pPr>
      <w:r>
        <w:rPr>
          <w:rFonts w:hint="eastAsia"/>
          <w:kern w:val="0"/>
          <w:sz w:val="24"/>
          <w:szCs w:val="24"/>
        </w:rPr>
        <w:t>5. 投标报价在不超采购预算的前提下，其合理性由磋商小组在评分中予以考虑。</w:t>
      </w: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60" w:lineRule="exact"/>
        <w:rPr>
          <w:b/>
          <w:sz w:val="24"/>
        </w:rPr>
      </w:pPr>
      <w:r>
        <w:rPr>
          <w:b/>
          <w:sz w:val="24"/>
        </w:rPr>
        <w:t>附件2</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firstLine="6960" w:firstLineChars="2900"/>
        <w:rPr>
          <w:sz w:val="24"/>
        </w:rPr>
      </w:pPr>
      <w:r>
        <w:rPr>
          <w:sz w:val="24"/>
        </w:rPr>
        <w:t>单位：元</w:t>
      </w:r>
    </w:p>
    <w:tbl>
      <w:tblPr>
        <w:tblStyle w:val="15"/>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2103" w:type="dxa"/>
            <w:vAlign w:val="center"/>
          </w:tcPr>
          <w:p>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2103" w:type="dxa"/>
            <w:vAlign w:val="center"/>
          </w:tcPr>
          <w:p>
            <w:pPr>
              <w:jc w:val="center"/>
              <w:rPr>
                <w:sz w:val="24"/>
                <w:szCs w:val="24"/>
              </w:rPr>
            </w:pPr>
          </w:p>
        </w:tc>
      </w:tr>
    </w:tbl>
    <w:p>
      <w:pPr>
        <w:autoSpaceDE w:val="0"/>
        <w:autoSpaceDN w:val="0"/>
        <w:adjustRightInd w:val="0"/>
        <w:spacing w:line="360" w:lineRule="auto"/>
        <w:rPr>
          <w:b/>
          <w:color w:val="000000"/>
          <w:sz w:val="24"/>
        </w:rPr>
      </w:pPr>
      <w:r>
        <w:rPr>
          <w:b/>
          <w:color w:val="000000"/>
          <w:sz w:val="24"/>
        </w:rPr>
        <w:t xml:space="preserve">备注： </w:t>
      </w:r>
    </w:p>
    <w:p>
      <w:pPr>
        <w:autoSpaceDE w:val="0"/>
        <w:autoSpaceDN w:val="0"/>
        <w:adjustRightInd w:val="0"/>
        <w:spacing w:line="360" w:lineRule="auto"/>
        <w:ind w:firstLine="482"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82" w:firstLineChars="200"/>
        <w:rPr>
          <w:b/>
          <w:color w:val="000000"/>
          <w:sz w:val="24"/>
        </w:rPr>
      </w:pPr>
      <w:r>
        <w:rPr>
          <w:b/>
          <w:color w:val="000000"/>
          <w:sz w:val="24"/>
        </w:rPr>
        <w:t>2、投标人应按国家及天津市社会保险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82"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磋商文件规定的服务期小计</w:t>
      </w:r>
      <w:r>
        <w:rPr>
          <w:b/>
          <w:color w:val="000000"/>
          <w:sz w:val="24"/>
        </w:rPr>
        <w:t>=月小计*磋商文件规定的服务</w:t>
      </w:r>
      <w:r>
        <w:rPr>
          <w:rFonts w:hint="eastAsia"/>
          <w:b/>
          <w:color w:val="000000"/>
          <w:sz w:val="24"/>
        </w:rPr>
        <w:t>月数</w:t>
      </w:r>
    </w:p>
    <w:p>
      <w:pPr>
        <w:autoSpaceDE w:val="0"/>
        <w:autoSpaceDN w:val="0"/>
        <w:adjustRightInd w:val="0"/>
        <w:spacing w:line="360" w:lineRule="auto"/>
        <w:rPr>
          <w:b/>
          <w:color w:val="000000"/>
          <w:sz w:val="24"/>
        </w:rPr>
      </w:pPr>
    </w:p>
    <w:p>
      <w:pPr>
        <w:autoSpaceDE w:val="0"/>
        <w:autoSpaceDN w:val="0"/>
        <w:adjustRightInd w:val="0"/>
        <w:spacing w:line="360" w:lineRule="auto"/>
        <w:rPr>
          <w:b/>
          <w:color w:val="000000"/>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pPr>
        <w:spacing w:line="360" w:lineRule="auto"/>
        <w:ind w:firstLine="4080" w:firstLineChars="1700"/>
        <w:rPr>
          <w:sz w:val="24"/>
        </w:rPr>
      </w:pPr>
    </w:p>
    <w:p>
      <w:pPr>
        <w:spacing w:line="460" w:lineRule="exact"/>
        <w:jc w:val="left"/>
        <w:rPr>
          <w:sz w:val="24"/>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行楷简体">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楷体"/>
    <w:panose1 w:val="00000000000000000000"/>
    <w:charset w:val="86"/>
    <w:family w:val="auto"/>
    <w:pitch w:val="default"/>
    <w:sig w:usb0="00000000" w:usb1="00000000" w:usb2="00000010" w:usb3="00000000" w:csb0="00040000"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uelux-preloader">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lang w:eastAsia="zh-CN"/>
      </w:rPr>
    </w:pPr>
    <w:r>
      <w:fldChar w:fldCharType="begin"/>
    </w:r>
    <w:r>
      <w:instrText xml:space="preserve"> PAGE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B04"/>
    <w:rsid w:val="00156D40"/>
    <w:rsid w:val="00157026"/>
    <w:rsid w:val="00157CD2"/>
    <w:rsid w:val="00160174"/>
    <w:rsid w:val="00161BCD"/>
    <w:rsid w:val="001620E8"/>
    <w:rsid w:val="001642A3"/>
    <w:rsid w:val="00167F61"/>
    <w:rsid w:val="00172A27"/>
    <w:rsid w:val="00174AC5"/>
    <w:rsid w:val="00176796"/>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659F"/>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3539"/>
    <w:rsid w:val="00244F9A"/>
    <w:rsid w:val="00252672"/>
    <w:rsid w:val="00252A42"/>
    <w:rsid w:val="00253BBA"/>
    <w:rsid w:val="002551EE"/>
    <w:rsid w:val="00255AD9"/>
    <w:rsid w:val="00256085"/>
    <w:rsid w:val="00264532"/>
    <w:rsid w:val="002657C3"/>
    <w:rsid w:val="00266EA3"/>
    <w:rsid w:val="002672A0"/>
    <w:rsid w:val="0026762F"/>
    <w:rsid w:val="002762E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6071"/>
    <w:rsid w:val="003A775A"/>
    <w:rsid w:val="003B4C3A"/>
    <w:rsid w:val="003B6654"/>
    <w:rsid w:val="003B6FA3"/>
    <w:rsid w:val="003B759D"/>
    <w:rsid w:val="003C3462"/>
    <w:rsid w:val="003C354F"/>
    <w:rsid w:val="003C4CB4"/>
    <w:rsid w:val="003D0166"/>
    <w:rsid w:val="003D0A03"/>
    <w:rsid w:val="003D2F45"/>
    <w:rsid w:val="003D3D04"/>
    <w:rsid w:val="003D6D88"/>
    <w:rsid w:val="003D7E7E"/>
    <w:rsid w:val="003E0680"/>
    <w:rsid w:val="003E1762"/>
    <w:rsid w:val="003E2928"/>
    <w:rsid w:val="003E4360"/>
    <w:rsid w:val="003E5900"/>
    <w:rsid w:val="003F1A42"/>
    <w:rsid w:val="003F1DE7"/>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D1434"/>
    <w:rsid w:val="004D1D00"/>
    <w:rsid w:val="004D2271"/>
    <w:rsid w:val="004D3183"/>
    <w:rsid w:val="004D3241"/>
    <w:rsid w:val="004D38CE"/>
    <w:rsid w:val="004D45B7"/>
    <w:rsid w:val="004D5B80"/>
    <w:rsid w:val="004E4951"/>
    <w:rsid w:val="004E5C87"/>
    <w:rsid w:val="004E69C4"/>
    <w:rsid w:val="004E6FF7"/>
    <w:rsid w:val="004F0DE1"/>
    <w:rsid w:val="004F4224"/>
    <w:rsid w:val="004F4FD5"/>
    <w:rsid w:val="004F797C"/>
    <w:rsid w:val="0050312D"/>
    <w:rsid w:val="00503DFE"/>
    <w:rsid w:val="005114F4"/>
    <w:rsid w:val="005122B1"/>
    <w:rsid w:val="00523739"/>
    <w:rsid w:val="00523D8F"/>
    <w:rsid w:val="00524164"/>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E0F"/>
    <w:rsid w:val="005B5732"/>
    <w:rsid w:val="005B5C31"/>
    <w:rsid w:val="005B602F"/>
    <w:rsid w:val="005C11A2"/>
    <w:rsid w:val="005C3207"/>
    <w:rsid w:val="005C3D81"/>
    <w:rsid w:val="005C6A88"/>
    <w:rsid w:val="005C726B"/>
    <w:rsid w:val="005D5E7E"/>
    <w:rsid w:val="005D7D84"/>
    <w:rsid w:val="005E040B"/>
    <w:rsid w:val="005E1FF6"/>
    <w:rsid w:val="005E2C9A"/>
    <w:rsid w:val="005E4F4E"/>
    <w:rsid w:val="005E6280"/>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1AD1"/>
    <w:rsid w:val="007120C8"/>
    <w:rsid w:val="00712370"/>
    <w:rsid w:val="00716479"/>
    <w:rsid w:val="007201E1"/>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5F5"/>
    <w:rsid w:val="009111AE"/>
    <w:rsid w:val="00912721"/>
    <w:rsid w:val="009141E9"/>
    <w:rsid w:val="00914ACB"/>
    <w:rsid w:val="00915594"/>
    <w:rsid w:val="00915FEF"/>
    <w:rsid w:val="00917025"/>
    <w:rsid w:val="009200F5"/>
    <w:rsid w:val="009210FB"/>
    <w:rsid w:val="00921659"/>
    <w:rsid w:val="00922F95"/>
    <w:rsid w:val="009268E3"/>
    <w:rsid w:val="00927571"/>
    <w:rsid w:val="00927DB5"/>
    <w:rsid w:val="009301D9"/>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835"/>
    <w:rsid w:val="009A1ECC"/>
    <w:rsid w:val="009A27C1"/>
    <w:rsid w:val="009B06F2"/>
    <w:rsid w:val="009B22F4"/>
    <w:rsid w:val="009B324F"/>
    <w:rsid w:val="009B3CAF"/>
    <w:rsid w:val="009B5E18"/>
    <w:rsid w:val="009B62A4"/>
    <w:rsid w:val="009B7C64"/>
    <w:rsid w:val="009C0A79"/>
    <w:rsid w:val="009C0B0D"/>
    <w:rsid w:val="009C374E"/>
    <w:rsid w:val="009C3B6E"/>
    <w:rsid w:val="009C4CA1"/>
    <w:rsid w:val="009C67E7"/>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31CE"/>
    <w:rsid w:val="00A041FF"/>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E1F"/>
    <w:rsid w:val="00A71418"/>
    <w:rsid w:val="00A74039"/>
    <w:rsid w:val="00A7527D"/>
    <w:rsid w:val="00A7533B"/>
    <w:rsid w:val="00A75A21"/>
    <w:rsid w:val="00A76B93"/>
    <w:rsid w:val="00A76D49"/>
    <w:rsid w:val="00A80230"/>
    <w:rsid w:val="00A80A6B"/>
    <w:rsid w:val="00A81CDC"/>
    <w:rsid w:val="00A87C0C"/>
    <w:rsid w:val="00A91F03"/>
    <w:rsid w:val="00A93719"/>
    <w:rsid w:val="00A93BE1"/>
    <w:rsid w:val="00AA0139"/>
    <w:rsid w:val="00AA3E09"/>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B00BD6"/>
    <w:rsid w:val="00B03263"/>
    <w:rsid w:val="00B03E68"/>
    <w:rsid w:val="00B04140"/>
    <w:rsid w:val="00B0451D"/>
    <w:rsid w:val="00B06B34"/>
    <w:rsid w:val="00B10A98"/>
    <w:rsid w:val="00B11DC2"/>
    <w:rsid w:val="00B15E98"/>
    <w:rsid w:val="00B243E7"/>
    <w:rsid w:val="00B24BA8"/>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707A"/>
    <w:rsid w:val="00D17111"/>
    <w:rsid w:val="00D17690"/>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316B"/>
    <w:rsid w:val="00D563AD"/>
    <w:rsid w:val="00D628AE"/>
    <w:rsid w:val="00D631B3"/>
    <w:rsid w:val="00D63C00"/>
    <w:rsid w:val="00D64A44"/>
    <w:rsid w:val="00D6607A"/>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6365"/>
    <w:rsid w:val="00DA64A4"/>
    <w:rsid w:val="00DA6A35"/>
    <w:rsid w:val="00DB10F2"/>
    <w:rsid w:val="00DB2DDA"/>
    <w:rsid w:val="00DB5613"/>
    <w:rsid w:val="00DC2EFC"/>
    <w:rsid w:val="00DC32D3"/>
    <w:rsid w:val="00DC558D"/>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3BFF"/>
    <w:rsid w:val="00E753C1"/>
    <w:rsid w:val="00E75CEC"/>
    <w:rsid w:val="00E84975"/>
    <w:rsid w:val="00E84D97"/>
    <w:rsid w:val="00E84F3C"/>
    <w:rsid w:val="00E852C3"/>
    <w:rsid w:val="00E8596F"/>
    <w:rsid w:val="00E86416"/>
    <w:rsid w:val="00E86AA0"/>
    <w:rsid w:val="00E87037"/>
    <w:rsid w:val="00E90319"/>
    <w:rsid w:val="00E92969"/>
    <w:rsid w:val="00E975F7"/>
    <w:rsid w:val="00E97DE2"/>
    <w:rsid w:val="00EA3F6A"/>
    <w:rsid w:val="00EA43B0"/>
    <w:rsid w:val="00EB01FC"/>
    <w:rsid w:val="00EB3A88"/>
    <w:rsid w:val="00EB7973"/>
    <w:rsid w:val="00EC0B60"/>
    <w:rsid w:val="00EC0E60"/>
    <w:rsid w:val="00EC4A8C"/>
    <w:rsid w:val="00EC729F"/>
    <w:rsid w:val="00ED0258"/>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169851ED"/>
    <w:rsid w:val="1AFB4C7E"/>
    <w:rsid w:val="1CC92028"/>
    <w:rsid w:val="2FD31782"/>
    <w:rsid w:val="3E9C3BF1"/>
    <w:rsid w:val="5F1B3EF5"/>
    <w:rsid w:val="6287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qFormat/>
    <w:uiPriority w:val="0"/>
    <w:pPr>
      <w:keepNext/>
      <w:keepLines/>
      <w:spacing w:before="260" w:after="260" w:line="415" w:lineRule="auto"/>
      <w:outlineLvl w:val="2"/>
    </w:pPr>
    <w:rPr>
      <w:b/>
      <w:bCs/>
      <w:kern w:val="0"/>
      <w:sz w:val="32"/>
      <w:szCs w:val="32"/>
      <w:lang w:val="zh-CN" w:eastAsia="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0"/>
    <w:semiHidden/>
    <w:unhideWhenUsed/>
    <w:qFormat/>
    <w:uiPriority w:val="99"/>
    <w:pPr>
      <w:jc w:val="left"/>
    </w:pPr>
  </w:style>
  <w:style w:type="paragraph" w:styleId="5">
    <w:name w:val="Body Text Indent 2"/>
    <w:basedOn w:val="1"/>
    <w:link w:val="30"/>
    <w:qFormat/>
    <w:uiPriority w:val="0"/>
    <w:pPr>
      <w:tabs>
        <w:tab w:val="left" w:pos="360"/>
      </w:tabs>
      <w:spacing w:line="560" w:lineRule="atLeast"/>
      <w:ind w:left="-105" w:firstLine="465"/>
    </w:pPr>
    <w:rPr>
      <w:rFonts w:ascii="宋体"/>
      <w:sz w:val="28"/>
      <w:lang w:val="zh-CN" w:eastAsia="zh-CN"/>
    </w:rPr>
  </w:style>
  <w:style w:type="paragraph" w:styleId="6">
    <w:name w:val="Balloon Text"/>
    <w:basedOn w:val="1"/>
    <w:link w:val="25"/>
    <w:qFormat/>
    <w:uiPriority w:val="99"/>
    <w:rPr>
      <w:sz w:val="18"/>
      <w:szCs w:val="18"/>
      <w:lang w:val="zh-CN" w:eastAsia="zh-CN"/>
    </w:rPr>
  </w:style>
  <w:style w:type="paragraph" w:styleId="7">
    <w:name w:val="footer"/>
    <w:basedOn w:val="1"/>
    <w:link w:val="24"/>
    <w:qFormat/>
    <w:uiPriority w:val="99"/>
    <w:pPr>
      <w:tabs>
        <w:tab w:val="center" w:pos="4153"/>
        <w:tab w:val="right" w:pos="8306"/>
      </w:tabs>
      <w:snapToGrid w:val="0"/>
      <w:jc w:val="left"/>
    </w:pPr>
    <w:rPr>
      <w:kern w:val="0"/>
      <w:sz w:val="18"/>
      <w:szCs w:val="18"/>
      <w:lang w:val="zh-CN" w:eastAsia="zh-CN"/>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9">
    <w:name w:val="toc 1"/>
    <w:basedOn w:val="1"/>
    <w:next w:val="1"/>
    <w:qFormat/>
    <w:uiPriority w:val="0"/>
    <w:pPr>
      <w:tabs>
        <w:tab w:val="right" w:leader="middleDot" w:pos="8302"/>
      </w:tabs>
      <w:spacing w:line="360" w:lineRule="auto"/>
    </w:pPr>
  </w:style>
  <w:style w:type="paragraph" w:styleId="10">
    <w:name w:val="Subtitle"/>
    <w:basedOn w:val="1"/>
    <w:next w:val="1"/>
    <w:link w:val="29"/>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1">
    <w:name w:val="Body Text Indent 3"/>
    <w:basedOn w:val="1"/>
    <w:link w:val="31"/>
    <w:qFormat/>
    <w:uiPriority w:val="0"/>
    <w:pPr>
      <w:tabs>
        <w:tab w:val="left" w:pos="360"/>
      </w:tabs>
      <w:spacing w:line="560" w:lineRule="exact"/>
      <w:ind w:firstLine="360"/>
    </w:pPr>
    <w:rPr>
      <w:rFonts w:ascii="宋体"/>
      <w:sz w:val="24"/>
      <w:lang w:val="zh-CN" w:eastAsia="zh-CN"/>
    </w:rPr>
  </w:style>
  <w:style w:type="paragraph" w:styleId="12">
    <w:name w:val="Body Text 2"/>
    <w:basedOn w:val="1"/>
    <w:link w:val="69"/>
    <w:semiHidden/>
    <w:unhideWhenUsed/>
    <w:qFormat/>
    <w:uiPriority w:val="99"/>
    <w:pPr>
      <w:spacing w:after="120" w:line="480" w:lineRule="auto"/>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4"/>
    <w:next w:val="4"/>
    <w:link w:val="71"/>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Emphasis"/>
    <w:qFormat/>
    <w:uiPriority w:val="20"/>
    <w:rPr>
      <w:i/>
      <w:iCs/>
    </w:rPr>
  </w:style>
  <w:style w:type="character" w:styleId="20">
    <w:name w:val="Hyperlink"/>
    <w:qFormat/>
    <w:uiPriority w:val="0"/>
    <w:rPr>
      <w:rFonts w:hint="default" w:ascii="ˎ̥" w:hAnsi="ˎ̥"/>
      <w:color w:val="3E3E3E"/>
      <w:sz w:val="24"/>
      <w:szCs w:val="24"/>
      <w:u w:val="none"/>
    </w:rPr>
  </w:style>
  <w:style w:type="character" w:styleId="21">
    <w:name w:val="annotation reference"/>
    <w:basedOn w:val="17"/>
    <w:semiHidden/>
    <w:unhideWhenUsed/>
    <w:qFormat/>
    <w:uiPriority w:val="99"/>
    <w:rPr>
      <w:sz w:val="21"/>
      <w:szCs w:val="21"/>
    </w:rPr>
  </w:style>
  <w:style w:type="character" w:customStyle="1" w:styleId="22">
    <w:name w:val="标题 3 Char"/>
    <w:link w:val="2"/>
    <w:qFormat/>
    <w:uiPriority w:val="0"/>
    <w:rPr>
      <w:rFonts w:ascii="Times New Roman" w:hAnsi="Times New Roman" w:eastAsia="宋体" w:cs="Times New Roman"/>
      <w:b/>
      <w:bCs/>
      <w:sz w:val="32"/>
      <w:szCs w:val="32"/>
    </w:rPr>
  </w:style>
  <w:style w:type="character" w:customStyle="1" w:styleId="23">
    <w:name w:val="页眉 Char"/>
    <w:link w:val="8"/>
    <w:qFormat/>
    <w:uiPriority w:val="99"/>
    <w:rPr>
      <w:rFonts w:ascii="Times New Roman" w:hAnsi="Times New Roman" w:eastAsia="宋体" w:cs="Times New Roman"/>
      <w:sz w:val="18"/>
      <w:szCs w:val="18"/>
    </w:rPr>
  </w:style>
  <w:style w:type="character" w:customStyle="1" w:styleId="24">
    <w:name w:val="页脚 Char"/>
    <w:link w:val="7"/>
    <w:qFormat/>
    <w:uiPriority w:val="99"/>
    <w:rPr>
      <w:rFonts w:ascii="Times New Roman" w:hAnsi="Times New Roman" w:eastAsia="宋体" w:cs="Times New Roman"/>
      <w:sz w:val="18"/>
      <w:szCs w:val="18"/>
    </w:rPr>
  </w:style>
  <w:style w:type="character" w:customStyle="1" w:styleId="25">
    <w:name w:val="批注框文本 Char"/>
    <w:link w:val="6"/>
    <w:qFormat/>
    <w:uiPriority w:val="99"/>
    <w:rPr>
      <w:rFonts w:ascii="Times New Roman" w:hAnsi="Times New Roman"/>
      <w:kern w:val="2"/>
      <w:sz w:val="18"/>
      <w:szCs w:val="18"/>
    </w:rPr>
  </w:style>
  <w:style w:type="paragraph" w:customStyle="1" w:styleId="26">
    <w:name w:val="Char"/>
    <w:basedOn w:val="1"/>
    <w:qFormat/>
    <w:uiPriority w:val="0"/>
  </w:style>
  <w:style w:type="paragraph" w:customStyle="1" w:styleId="27">
    <w:name w:val="Default"/>
    <w:link w:val="7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
    <w:basedOn w:val="1"/>
    <w:qFormat/>
    <w:uiPriority w:val="0"/>
    <w:pPr>
      <w:ind w:firstLine="420" w:firstLineChars="200"/>
    </w:pPr>
    <w:rPr>
      <w:rFonts w:ascii="Calibri" w:hAnsi="Calibri" w:cs="黑体"/>
      <w:szCs w:val="22"/>
    </w:rPr>
  </w:style>
  <w:style w:type="character" w:customStyle="1" w:styleId="29">
    <w:name w:val="副标题 Char"/>
    <w:link w:val="10"/>
    <w:qFormat/>
    <w:uiPriority w:val="11"/>
    <w:rPr>
      <w:rFonts w:ascii="Cambria" w:hAnsi="Cambria" w:cs="Times New Roman"/>
      <w:b/>
      <w:bCs/>
      <w:kern w:val="28"/>
      <w:sz w:val="32"/>
      <w:szCs w:val="32"/>
    </w:rPr>
  </w:style>
  <w:style w:type="character" w:customStyle="1" w:styleId="30">
    <w:name w:val="正文文本缩进 2 Char"/>
    <w:link w:val="5"/>
    <w:qFormat/>
    <w:uiPriority w:val="0"/>
    <w:rPr>
      <w:rFonts w:ascii="宋体" w:hAnsi="Times New Roman"/>
      <w:kern w:val="2"/>
      <w:sz w:val="28"/>
    </w:rPr>
  </w:style>
  <w:style w:type="character" w:customStyle="1" w:styleId="31">
    <w:name w:val="正文文本缩进 3 Char"/>
    <w:link w:val="11"/>
    <w:qFormat/>
    <w:uiPriority w:val="0"/>
    <w:rPr>
      <w:rFonts w:ascii="宋体" w:hAnsi="Times New Roman"/>
      <w:kern w:val="2"/>
      <w:sz w:val="24"/>
    </w:rPr>
  </w:style>
  <w:style w:type="paragraph" w:customStyle="1" w:styleId="32">
    <w:name w:val="Char1"/>
    <w:basedOn w:val="1"/>
    <w:qFormat/>
    <w:uiPriority w:val="0"/>
    <w:pPr>
      <w:tabs>
        <w:tab w:val="left" w:pos="360"/>
      </w:tabs>
    </w:pPr>
    <w:rPr>
      <w:sz w:val="24"/>
      <w:szCs w:val="24"/>
    </w:rPr>
  </w:style>
  <w:style w:type="character" w:customStyle="1" w:styleId="33">
    <w:name w:val="control-label6"/>
    <w:qFormat/>
    <w:uiPriority w:val="0"/>
    <w:rPr>
      <w:rFonts w:hint="eastAsia" w:ascii="微软雅黑" w:hAnsi="微软雅黑" w:eastAsia="微软雅黑"/>
    </w:rPr>
  </w:style>
  <w:style w:type="character" w:customStyle="1" w:styleId="34">
    <w:name w:val="apple-converted-space"/>
    <w:qFormat/>
    <w:uiPriority w:val="0"/>
  </w:style>
  <w:style w:type="paragraph" w:styleId="35">
    <w:name w:val="List Paragraph"/>
    <w:basedOn w:val="1"/>
    <w:link w:val="36"/>
    <w:qFormat/>
    <w:uiPriority w:val="34"/>
    <w:pPr>
      <w:ind w:firstLine="420" w:firstLineChars="200"/>
    </w:pPr>
    <w:rPr>
      <w:szCs w:val="24"/>
      <w:lang w:val="zh-CN" w:eastAsia="zh-CN"/>
    </w:rPr>
  </w:style>
  <w:style w:type="character" w:customStyle="1" w:styleId="36">
    <w:name w:val="列出段落 Char"/>
    <w:link w:val="35"/>
    <w:qFormat/>
    <w:uiPriority w:val="34"/>
    <w:rPr>
      <w:rFonts w:ascii="Times New Roman" w:hAnsi="Times New Roman"/>
      <w:kern w:val="2"/>
      <w:sz w:val="21"/>
      <w:szCs w:val="24"/>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9">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1">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4">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正文文本 2 Char"/>
    <w:basedOn w:val="17"/>
    <w:link w:val="12"/>
    <w:semiHidden/>
    <w:qFormat/>
    <w:uiPriority w:val="99"/>
    <w:rPr>
      <w:rFonts w:ascii="Times New Roman" w:hAnsi="Times New Roman"/>
      <w:kern w:val="2"/>
      <w:sz w:val="21"/>
    </w:rPr>
  </w:style>
  <w:style w:type="character" w:customStyle="1" w:styleId="70">
    <w:name w:val="批注文字 Char"/>
    <w:basedOn w:val="17"/>
    <w:link w:val="4"/>
    <w:semiHidden/>
    <w:qFormat/>
    <w:uiPriority w:val="99"/>
    <w:rPr>
      <w:rFonts w:ascii="Times New Roman" w:hAnsi="Times New Roman"/>
      <w:kern w:val="2"/>
      <w:sz w:val="21"/>
    </w:rPr>
  </w:style>
  <w:style w:type="character" w:customStyle="1" w:styleId="71">
    <w:name w:val="批注主题 Char"/>
    <w:basedOn w:val="70"/>
    <w:link w:val="14"/>
    <w:semiHidden/>
    <w:qFormat/>
    <w:uiPriority w:val="99"/>
    <w:rPr>
      <w:rFonts w:ascii="Times New Roman" w:hAnsi="Times New Roman"/>
      <w:b/>
      <w:bCs/>
      <w:kern w:val="2"/>
      <w:sz w:val="21"/>
    </w:rPr>
  </w:style>
  <w:style w:type="character" w:customStyle="1" w:styleId="72">
    <w:name w:val="Default Char"/>
    <w:link w:val="27"/>
    <w:qFormat/>
    <w:locked/>
    <w:uiPriority w:val="0"/>
    <w:rPr>
      <w:rFonts w:ascii="......." w:hAnsi="......." w:eastAsia="......." w:cs="......."/>
      <w:color w:val="000000"/>
      <w:sz w:val="24"/>
      <w:szCs w:val="24"/>
    </w:rPr>
  </w:style>
  <w:style w:type="character" w:customStyle="1" w:styleId="7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9502A-6FF0-47B4-8EB9-872D88BF056F}">
  <ds:schemaRefs/>
</ds:datastoreItem>
</file>

<file path=docProps/app.xml><?xml version="1.0" encoding="utf-8"?>
<Properties xmlns="http://schemas.openxmlformats.org/officeDocument/2006/extended-properties" xmlns:vt="http://schemas.openxmlformats.org/officeDocument/2006/docPropsVTypes">
  <Template>Normal</Template>
  <Pages>2</Pages>
  <Words>4623</Words>
  <Characters>26355</Characters>
  <Lines>219</Lines>
  <Paragraphs>61</Paragraphs>
  <TotalTime>17</TotalTime>
  <ScaleCrop>false</ScaleCrop>
  <LinksUpToDate>false</LinksUpToDate>
  <CharactersWithSpaces>30917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2022-11-04T07:58:00Z</dcterms:created>
  <dc:creator>未定义</dc:creator>
  <cp:lastModifiedBy>尃翟</cp:lastModifiedBy>
  <cp:lastPrinted>2015-08-04T03:01:00Z</cp:lastPrinted>
  <dcterms:modified xsi:type="dcterms:W3CDTF">2022-11-11T06:12:49Z</dcterms:modified>
  <dc:title>2015年天津市政府债券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177053014338450981D8E95B02C3568C</vt:lpwstr>
  </property>
</Properties>
</file>